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460A" w14:textId="77777777" w:rsidR="00660A65" w:rsidRDefault="00726705" w:rsidP="002D282F">
      <w:pPr>
        <w:jc w:val="center"/>
        <w:rPr>
          <w:b/>
          <w:bCs/>
          <w:color w:val="000000" w:themeColor="text1"/>
        </w:rPr>
      </w:pPr>
      <w:r w:rsidRPr="002D282F">
        <w:rPr>
          <w:b/>
          <w:bCs/>
          <w:color w:val="000000" w:themeColor="text1"/>
        </w:rPr>
        <w:t>TÜKETİCİ DEĞERLENDİRMELERİ</w:t>
      </w:r>
      <w:r w:rsidR="00684D64" w:rsidRPr="002D282F">
        <w:rPr>
          <w:b/>
          <w:bCs/>
          <w:color w:val="000000" w:themeColor="text1"/>
        </w:rPr>
        <w:t xml:space="preserve"> HAKKINDA KILAVUZ</w:t>
      </w:r>
    </w:p>
    <w:p w14:paraId="534EA9B9" w14:textId="77777777" w:rsidR="00660A65" w:rsidRPr="002D282F" w:rsidRDefault="00660A65" w:rsidP="002D282F">
      <w:pPr>
        <w:ind w:firstLine="567"/>
        <w:jc w:val="center"/>
        <w:rPr>
          <w:color w:val="000000" w:themeColor="text1"/>
        </w:rPr>
      </w:pPr>
      <w:r w:rsidRPr="002D282F">
        <w:rPr>
          <w:b/>
          <w:bCs/>
          <w:color w:val="000000" w:themeColor="text1"/>
        </w:rPr>
        <w:t> </w:t>
      </w:r>
    </w:p>
    <w:p w14:paraId="0BD211FA" w14:textId="77777777" w:rsidR="00660A65" w:rsidRPr="002D282F" w:rsidRDefault="00660A65" w:rsidP="002D282F">
      <w:pPr>
        <w:jc w:val="center"/>
        <w:rPr>
          <w:color w:val="000000" w:themeColor="text1"/>
        </w:rPr>
      </w:pPr>
      <w:r w:rsidRPr="002D282F">
        <w:rPr>
          <w:b/>
          <w:bCs/>
          <w:color w:val="000000" w:themeColor="text1"/>
        </w:rPr>
        <w:t>BİRİNCİ BÖLÜM</w:t>
      </w:r>
    </w:p>
    <w:p w14:paraId="1508494A" w14:textId="77777777" w:rsidR="00660A65" w:rsidRPr="002D282F" w:rsidRDefault="00660A65" w:rsidP="002D282F">
      <w:pPr>
        <w:jc w:val="center"/>
        <w:rPr>
          <w:color w:val="000000" w:themeColor="text1"/>
        </w:rPr>
      </w:pPr>
      <w:r w:rsidRPr="002D282F">
        <w:rPr>
          <w:b/>
          <w:bCs/>
          <w:color w:val="000000" w:themeColor="text1"/>
        </w:rPr>
        <w:t>Amaç, Kapsam, Dayanak ve Tanımlar</w:t>
      </w:r>
    </w:p>
    <w:p w14:paraId="79F04876" w14:textId="77777777" w:rsidR="00660A65" w:rsidRPr="002D282F" w:rsidRDefault="00660A65" w:rsidP="002D282F">
      <w:pPr>
        <w:ind w:firstLine="567"/>
        <w:jc w:val="both"/>
        <w:rPr>
          <w:color w:val="000000" w:themeColor="text1"/>
        </w:rPr>
      </w:pPr>
      <w:r w:rsidRPr="002D282F">
        <w:rPr>
          <w:b/>
          <w:bCs/>
          <w:color w:val="000000" w:themeColor="text1"/>
        </w:rPr>
        <w:t> </w:t>
      </w:r>
    </w:p>
    <w:p w14:paraId="1218D9FF" w14:textId="77777777" w:rsidR="00660A65" w:rsidRPr="002D282F" w:rsidRDefault="00660A65" w:rsidP="002D282F">
      <w:pPr>
        <w:ind w:firstLine="709"/>
        <w:jc w:val="both"/>
        <w:rPr>
          <w:color w:val="000000" w:themeColor="text1"/>
        </w:rPr>
      </w:pPr>
      <w:r w:rsidRPr="002D282F">
        <w:rPr>
          <w:b/>
          <w:bCs/>
          <w:color w:val="000000" w:themeColor="text1"/>
        </w:rPr>
        <w:t>Amaç</w:t>
      </w:r>
    </w:p>
    <w:p w14:paraId="5E6FBA51" w14:textId="77777777" w:rsidR="00FA5F28" w:rsidRDefault="00660A65" w:rsidP="006662B6">
      <w:pPr>
        <w:ind w:firstLine="709"/>
        <w:jc w:val="both"/>
      </w:pPr>
      <w:r w:rsidRPr="002D282F">
        <w:rPr>
          <w:b/>
          <w:bCs/>
          <w:color w:val="000000" w:themeColor="text1"/>
        </w:rPr>
        <w:t xml:space="preserve">MADDE 1 </w:t>
      </w:r>
      <w:r w:rsidRPr="006662B6">
        <w:rPr>
          <w:b/>
          <w:bCs/>
          <w:color w:val="000000" w:themeColor="text1"/>
        </w:rPr>
        <w:t>–</w:t>
      </w:r>
      <w:r w:rsidRPr="006662B6">
        <w:rPr>
          <w:color w:val="000000" w:themeColor="text1"/>
        </w:rPr>
        <w:t> </w:t>
      </w:r>
      <w:r w:rsidR="004A3DE5">
        <w:rPr>
          <w:color w:val="000000" w:themeColor="text1"/>
        </w:rPr>
        <w:t xml:space="preserve">(1) </w:t>
      </w:r>
      <w:r w:rsidR="003967C3" w:rsidRPr="006662B6">
        <w:rPr>
          <w:color w:val="000000" w:themeColor="text1"/>
        </w:rPr>
        <w:t>Bu Kılavuzun amacı, tüketici değerlendirmeleri</w:t>
      </w:r>
      <w:r w:rsidR="00AF5305">
        <w:rPr>
          <w:color w:val="000000" w:themeColor="text1"/>
        </w:rPr>
        <w:t xml:space="preserve"> ile ilgili</w:t>
      </w:r>
      <w:r w:rsidR="003967C3" w:rsidRPr="006662B6">
        <w:rPr>
          <w:color w:val="000000" w:themeColor="text1"/>
        </w:rPr>
        <w:t xml:space="preserve"> temel ilkeler, bilgilendirme, kontrol süreci,</w:t>
      </w:r>
      <w:r w:rsidR="00AF5305">
        <w:rPr>
          <w:color w:val="000000" w:themeColor="text1"/>
        </w:rPr>
        <w:t xml:space="preserve"> aldatıcı </w:t>
      </w:r>
      <w:r w:rsidR="00C83B0D">
        <w:rPr>
          <w:color w:val="000000" w:themeColor="text1"/>
        </w:rPr>
        <w:t>kabul edilen durumlar</w:t>
      </w:r>
      <w:r w:rsidR="003967C3" w:rsidRPr="006C3E69">
        <w:rPr>
          <w:color w:val="000000" w:themeColor="text1"/>
        </w:rPr>
        <w:t xml:space="preserve"> ile </w:t>
      </w:r>
      <w:r w:rsidR="006C1F1A" w:rsidRPr="006C3E69">
        <w:rPr>
          <w:color w:val="000000" w:themeColor="text1"/>
        </w:rPr>
        <w:t>yükümlülükler</w:t>
      </w:r>
      <w:r w:rsidR="00C83B0D">
        <w:rPr>
          <w:color w:val="000000" w:themeColor="text1"/>
        </w:rPr>
        <w:t>e ilişkin</w:t>
      </w:r>
      <w:r w:rsidR="003967C3" w:rsidRPr="006C3E69">
        <w:t xml:space="preserve"> reklam veren, reklam ajansları</w:t>
      </w:r>
      <w:r w:rsidR="003967C3" w:rsidRPr="006662B6">
        <w:t>, mecra kuruluşları ve reklamcılıkla ilgili tüm kişi, kurum ve kuruluşlara yol göstermektir.</w:t>
      </w:r>
    </w:p>
    <w:p w14:paraId="7F4B957B" w14:textId="77777777" w:rsidR="003967C3" w:rsidRPr="003967C3" w:rsidRDefault="003967C3" w:rsidP="003967C3">
      <w:pPr>
        <w:ind w:firstLine="567"/>
        <w:rPr>
          <w:b/>
          <w:bCs/>
          <w:color w:val="000000"/>
        </w:rPr>
      </w:pPr>
    </w:p>
    <w:p w14:paraId="11B28AA5" w14:textId="77777777" w:rsidR="00660A65" w:rsidRPr="002D282F" w:rsidRDefault="00660A65" w:rsidP="002D282F">
      <w:pPr>
        <w:ind w:firstLine="709"/>
        <w:jc w:val="both"/>
        <w:rPr>
          <w:color w:val="000000"/>
        </w:rPr>
      </w:pPr>
      <w:r w:rsidRPr="002D282F">
        <w:rPr>
          <w:b/>
          <w:bCs/>
          <w:color w:val="000000"/>
        </w:rPr>
        <w:t>Kapsam</w:t>
      </w:r>
    </w:p>
    <w:p w14:paraId="097D9245" w14:textId="77777777" w:rsidR="00FF2970" w:rsidRDefault="00660A65" w:rsidP="006B7138">
      <w:pPr>
        <w:ind w:firstLine="709"/>
        <w:jc w:val="both"/>
        <w:rPr>
          <w:color w:val="000000"/>
        </w:rPr>
      </w:pPr>
      <w:r w:rsidRPr="002D282F">
        <w:rPr>
          <w:b/>
          <w:bCs/>
          <w:color w:val="000000"/>
        </w:rPr>
        <w:t>MADDE 2 – </w:t>
      </w:r>
      <w:r w:rsidR="00C377CD" w:rsidRPr="002D282F">
        <w:rPr>
          <w:color w:val="000000"/>
        </w:rPr>
        <w:t>(</w:t>
      </w:r>
      <w:r w:rsidR="00C377CD" w:rsidRPr="006424B0">
        <w:rPr>
          <w:color w:val="000000"/>
        </w:rPr>
        <w:t xml:space="preserve">1) </w:t>
      </w:r>
      <w:r w:rsidR="00AF5305">
        <w:rPr>
          <w:color w:val="000000"/>
        </w:rPr>
        <w:t>T</w:t>
      </w:r>
      <w:r w:rsidR="00FA1AAC" w:rsidRPr="00C83B0D">
        <w:rPr>
          <w:color w:val="000000"/>
        </w:rPr>
        <w:t>üketici değerlendirmeleri</w:t>
      </w:r>
      <w:r w:rsidR="00AF5305">
        <w:rPr>
          <w:color w:val="000000"/>
        </w:rPr>
        <w:t>ne ilişkin R</w:t>
      </w:r>
      <w:r w:rsidR="00AF5305" w:rsidRPr="00C83B0D">
        <w:rPr>
          <w:color w:val="000000"/>
        </w:rPr>
        <w:t>eklam Kurulunun</w:t>
      </w:r>
      <w:r w:rsidR="00FA1AAC" w:rsidRPr="00C83B0D">
        <w:rPr>
          <w:color w:val="000000"/>
        </w:rPr>
        <w:t xml:space="preserve"> yaklaşımını yansıtan bu</w:t>
      </w:r>
      <w:r w:rsidR="004F3468" w:rsidRPr="006424B0">
        <w:rPr>
          <w:color w:val="000000"/>
        </w:rPr>
        <w:t xml:space="preserve"> Kılavuz,</w:t>
      </w:r>
      <w:r w:rsidR="00123DF8" w:rsidRPr="006424B0">
        <w:rPr>
          <w:color w:val="000000"/>
        </w:rPr>
        <w:t xml:space="preserve"> satıcı ve sağlayıcılar ya da aracı hizmet sağlayıcılar tarafından sunulan mal veya hizmete</w:t>
      </w:r>
      <w:r w:rsidR="006424B0" w:rsidRPr="006424B0">
        <w:rPr>
          <w:color w:val="000000"/>
        </w:rPr>
        <w:t xml:space="preserve"> ve bunların yan sözleşmelerine</w:t>
      </w:r>
      <w:r w:rsidR="00123DF8" w:rsidRPr="006424B0">
        <w:rPr>
          <w:color w:val="000000"/>
        </w:rPr>
        <w:t xml:space="preserve"> ilişkin internet ortamında</w:t>
      </w:r>
      <w:r w:rsidR="006424B0" w:rsidRPr="006424B0">
        <w:rPr>
          <w:color w:val="000000"/>
        </w:rPr>
        <w:t xml:space="preserve"> yapılan t</w:t>
      </w:r>
      <w:r w:rsidR="000C4500" w:rsidRPr="006424B0">
        <w:rPr>
          <w:color w:val="000000"/>
        </w:rPr>
        <w:t>üketici değerlendirmelerini kapsar.</w:t>
      </w:r>
      <w:r w:rsidR="006424B0">
        <w:rPr>
          <w:color w:val="000000"/>
        </w:rPr>
        <w:t xml:space="preserve"> </w:t>
      </w:r>
    </w:p>
    <w:p w14:paraId="316108A1" w14:textId="77777777" w:rsidR="00850234" w:rsidRPr="0007127E" w:rsidRDefault="00850234" w:rsidP="00850234">
      <w:pPr>
        <w:ind w:firstLine="709"/>
        <w:jc w:val="both"/>
        <w:rPr>
          <w:bCs/>
          <w:color w:val="000000"/>
        </w:rPr>
      </w:pPr>
      <w:r w:rsidRPr="0007127E">
        <w:rPr>
          <w:bCs/>
          <w:color w:val="000000"/>
        </w:rPr>
        <w:t>(</w:t>
      </w:r>
      <w:r>
        <w:rPr>
          <w:bCs/>
          <w:color w:val="000000"/>
        </w:rPr>
        <w:t>2</w:t>
      </w:r>
      <w:r w:rsidRPr="0007127E">
        <w:rPr>
          <w:bCs/>
          <w:color w:val="000000"/>
        </w:rPr>
        <w:t xml:space="preserve">) </w:t>
      </w:r>
      <w:r w:rsidR="00EB08AE">
        <w:rPr>
          <w:bCs/>
          <w:color w:val="000000"/>
        </w:rPr>
        <w:t>Bu Kılavuz hükümleri, e</w:t>
      </w:r>
      <w:r w:rsidRPr="00850234">
        <w:rPr>
          <w:bCs/>
          <w:color w:val="000000"/>
        </w:rPr>
        <w:t>sas faaliyet alanı internet ortamında bir mal veya hizmete ya da o mal veya hizmetin satıcı veya sağlayıcılarına ilişkin tüketici şikâyetlerinin yayınlanmasına imkân sağlamak olan şikâyet platformları</w:t>
      </w:r>
      <w:r>
        <w:rPr>
          <w:bCs/>
          <w:color w:val="000000"/>
        </w:rPr>
        <w:t xml:space="preserve">nda yayınlanan değerlendirmeler </w:t>
      </w:r>
      <w:r w:rsidR="00412EDE">
        <w:rPr>
          <w:bCs/>
          <w:color w:val="000000"/>
        </w:rPr>
        <w:t>h</w:t>
      </w:r>
      <w:r>
        <w:rPr>
          <w:bCs/>
          <w:color w:val="000000"/>
        </w:rPr>
        <w:t>akkında da uygulanır.</w:t>
      </w:r>
    </w:p>
    <w:p w14:paraId="7294DEBA" w14:textId="77777777" w:rsidR="0036061C" w:rsidRPr="000C139B" w:rsidRDefault="0036061C" w:rsidP="0036061C">
      <w:pPr>
        <w:ind w:firstLine="709"/>
        <w:jc w:val="both"/>
        <w:rPr>
          <w:color w:val="000000"/>
        </w:rPr>
      </w:pPr>
      <w:r w:rsidRPr="000C139B">
        <w:rPr>
          <w:color w:val="000000"/>
        </w:rPr>
        <w:t>(3) Bu Kılavuz hükümleri;</w:t>
      </w:r>
    </w:p>
    <w:p w14:paraId="54318865" w14:textId="77777777" w:rsidR="0036061C" w:rsidRPr="000C139B" w:rsidRDefault="0036061C" w:rsidP="0036061C">
      <w:pPr>
        <w:ind w:firstLine="709"/>
        <w:jc w:val="both"/>
        <w:rPr>
          <w:color w:val="000000"/>
        </w:rPr>
      </w:pPr>
      <w:r w:rsidRPr="000C139B">
        <w:t xml:space="preserve">a) </w:t>
      </w:r>
      <w:r w:rsidR="000C139B" w:rsidRPr="000C139B">
        <w:t>B</w:t>
      </w:r>
      <w:r w:rsidRPr="000C139B">
        <w:rPr>
          <w:color w:val="000000"/>
        </w:rPr>
        <w:t xml:space="preserve">ir satıcı ya da sağlayıcı adına hareket etmeyen gerçek </w:t>
      </w:r>
      <w:r w:rsidR="000C139B">
        <w:rPr>
          <w:color w:val="000000"/>
        </w:rPr>
        <w:t xml:space="preserve">ve tüzel </w:t>
      </w:r>
      <w:r w:rsidRPr="000C139B">
        <w:rPr>
          <w:color w:val="000000"/>
        </w:rPr>
        <w:t>kişilerce kendine ait internet ortamında yapılan ve b</w:t>
      </w:r>
      <w:r w:rsidRPr="000C139B">
        <w:rPr>
          <w:bCs/>
          <w:color w:val="000000"/>
        </w:rPr>
        <w:t>ir mal veya hizmete ya da satıcı veya sağlayıcıya ilişkin edinilen deneyim hakkında bilgi verme niteliği taşıyan tüketici değerlendirmelerine,</w:t>
      </w:r>
    </w:p>
    <w:p w14:paraId="0B4A6A3B" w14:textId="77777777" w:rsidR="0012429B" w:rsidRDefault="0036061C" w:rsidP="0036061C">
      <w:pPr>
        <w:ind w:firstLine="709"/>
        <w:jc w:val="both"/>
        <w:rPr>
          <w:bCs/>
          <w:color w:val="000000"/>
        </w:rPr>
      </w:pPr>
      <w:r w:rsidRPr="000C139B">
        <w:t>b)</w:t>
      </w:r>
      <w:r w:rsidR="000C139B" w:rsidRPr="000C139B">
        <w:t xml:space="preserve"> </w:t>
      </w:r>
      <w:r w:rsidR="00C02E50">
        <w:t>T</w:t>
      </w:r>
      <w:r w:rsidR="004E7B6A">
        <w:t xml:space="preserve">üketici işlemi </w:t>
      </w:r>
      <w:r w:rsidR="00412EDE">
        <w:t>kapsamında ol</w:t>
      </w:r>
      <w:r w:rsidR="003B6FEB">
        <w:t>mayan satı</w:t>
      </w:r>
      <w:r w:rsidR="00C02E50">
        <w:t>n alma ve uygulama</w:t>
      </w:r>
      <w:r w:rsidR="003B6FEB">
        <w:t>lara ilişkin</w:t>
      </w:r>
      <w:r w:rsidRPr="000C139B">
        <w:t xml:space="preserve"> </w:t>
      </w:r>
      <w:r w:rsidRPr="000C139B">
        <w:rPr>
          <w:bCs/>
          <w:color w:val="000000"/>
        </w:rPr>
        <w:t>değerlendirmelere</w:t>
      </w:r>
      <w:r w:rsidR="0012429B">
        <w:rPr>
          <w:bCs/>
          <w:color w:val="000000"/>
        </w:rPr>
        <w:t xml:space="preserve"> </w:t>
      </w:r>
    </w:p>
    <w:p w14:paraId="40D9FD40" w14:textId="77777777" w:rsidR="0036061C" w:rsidRPr="00BD6E6B" w:rsidRDefault="0036061C" w:rsidP="0036061C">
      <w:pPr>
        <w:ind w:firstLine="709"/>
        <w:jc w:val="both"/>
        <w:rPr>
          <w:bCs/>
          <w:color w:val="000000"/>
        </w:rPr>
      </w:pPr>
      <w:proofErr w:type="gramStart"/>
      <w:r w:rsidRPr="000C139B">
        <w:rPr>
          <w:bCs/>
          <w:color w:val="000000"/>
        </w:rPr>
        <w:t>uygulanmaz</w:t>
      </w:r>
      <w:proofErr w:type="gramEnd"/>
      <w:r w:rsidRPr="000C139B">
        <w:rPr>
          <w:bCs/>
          <w:color w:val="000000"/>
        </w:rPr>
        <w:t>.</w:t>
      </w:r>
    </w:p>
    <w:p w14:paraId="05D55359" w14:textId="77777777" w:rsidR="009C5EE2" w:rsidRPr="002E6CA0" w:rsidRDefault="00311610" w:rsidP="002D282F">
      <w:pPr>
        <w:ind w:firstLine="709"/>
        <w:jc w:val="both"/>
      </w:pPr>
      <w:r w:rsidRPr="002E6CA0">
        <w:t xml:space="preserve">Örneğin, bir gerçek kişinin seyahat ile ilgili deneyimlerini paylaştığı kendine ait </w:t>
      </w:r>
      <w:proofErr w:type="spellStart"/>
      <w:r w:rsidRPr="002E6CA0">
        <w:t>blog</w:t>
      </w:r>
      <w:proofErr w:type="spellEnd"/>
      <w:r w:rsidRPr="002E6CA0">
        <w:t xml:space="preserve"> sayfasında yer alan ulaşım, konaklama, yeme içme</w:t>
      </w:r>
      <w:r w:rsidR="0063154F" w:rsidRPr="002E6CA0">
        <w:t xml:space="preserve"> hizmetleriyle ilgili değerlendirmeler bu Kılavuz kapsamı dışındadır.</w:t>
      </w:r>
    </w:p>
    <w:p w14:paraId="63EB41AA" w14:textId="77777777" w:rsidR="0063154F" w:rsidRPr="002E6CA0" w:rsidRDefault="0063154F" w:rsidP="0063154F">
      <w:pPr>
        <w:ind w:firstLine="709"/>
        <w:jc w:val="both"/>
      </w:pPr>
      <w:r w:rsidRPr="002E6CA0">
        <w:t>Benzer şekilde, kişilerin herhangi bir konu</w:t>
      </w:r>
      <w:r w:rsidR="009C686A" w:rsidRPr="002E6CA0">
        <w:t xml:space="preserve"> hakkında</w:t>
      </w:r>
      <w:r w:rsidRPr="002E6CA0">
        <w:t xml:space="preserve"> </w:t>
      </w:r>
      <w:r w:rsidR="009C686A" w:rsidRPr="002E6CA0">
        <w:t xml:space="preserve">fikir alışverişi </w:t>
      </w:r>
      <w:r w:rsidRPr="002E6CA0">
        <w:t xml:space="preserve">veya bilgilendirme yapmasına yönelik </w:t>
      </w:r>
      <w:r w:rsidR="00C02E50" w:rsidRPr="002E6CA0">
        <w:t>forum v</w:t>
      </w:r>
      <w:r w:rsidR="00496993">
        <w:t>e</w:t>
      </w:r>
      <w:r w:rsidR="008400F3">
        <w:t xml:space="preserve"> </w:t>
      </w:r>
      <w:r w:rsidR="006E1BC5">
        <w:t>b</w:t>
      </w:r>
      <w:r w:rsidR="008400F3">
        <w:t>enzeri</w:t>
      </w:r>
      <w:r w:rsidR="00C02E50" w:rsidRPr="002E6CA0">
        <w:t xml:space="preserve"> p</w:t>
      </w:r>
      <w:r w:rsidRPr="002E6CA0">
        <w:t>latformlarda yer alan değerlendirmeler bu Kılavuz kapsamı dışındadır.</w:t>
      </w:r>
    </w:p>
    <w:p w14:paraId="534309C6" w14:textId="77777777" w:rsidR="00311610" w:rsidRDefault="00311610" w:rsidP="002D282F">
      <w:pPr>
        <w:ind w:firstLine="709"/>
        <w:jc w:val="both"/>
        <w:rPr>
          <w:b/>
          <w:bCs/>
          <w:color w:val="000000"/>
        </w:rPr>
      </w:pPr>
    </w:p>
    <w:p w14:paraId="4DDAC3CD" w14:textId="77777777" w:rsidR="00660A65" w:rsidRPr="002D282F" w:rsidRDefault="00660A65" w:rsidP="002D282F">
      <w:pPr>
        <w:ind w:firstLine="709"/>
        <w:jc w:val="both"/>
        <w:rPr>
          <w:color w:val="000000"/>
        </w:rPr>
      </w:pPr>
      <w:r w:rsidRPr="002D282F">
        <w:rPr>
          <w:b/>
          <w:bCs/>
          <w:color w:val="000000"/>
        </w:rPr>
        <w:t>Dayanak</w:t>
      </w:r>
    </w:p>
    <w:p w14:paraId="5C966544" w14:textId="77777777" w:rsidR="00660A65" w:rsidRPr="002D282F" w:rsidRDefault="00660A65" w:rsidP="002D282F">
      <w:pPr>
        <w:ind w:firstLine="709"/>
        <w:jc w:val="both"/>
        <w:rPr>
          <w:color w:val="000000"/>
        </w:rPr>
      </w:pPr>
      <w:r w:rsidRPr="002D282F">
        <w:rPr>
          <w:b/>
          <w:bCs/>
          <w:color w:val="000000"/>
        </w:rPr>
        <w:t>MADDE 3 – </w:t>
      </w:r>
      <w:r w:rsidRPr="002D282F">
        <w:rPr>
          <w:color w:val="000000"/>
        </w:rPr>
        <w:t xml:space="preserve">(1) Bu </w:t>
      </w:r>
      <w:r w:rsidR="00F53D1F" w:rsidRPr="002D282F">
        <w:rPr>
          <w:color w:val="000000"/>
        </w:rPr>
        <w:t>Kılavuz</w:t>
      </w:r>
      <w:r w:rsidRPr="002D282F">
        <w:rPr>
          <w:color w:val="000000"/>
        </w:rPr>
        <w:t xml:space="preserve">, 7/11/2013 tarihli ve 6502 sayılı Tüketicinin Korunması Hakkında Kanunun 61 inci, </w:t>
      </w:r>
      <w:proofErr w:type="gramStart"/>
      <w:r w:rsidRPr="002D282F">
        <w:rPr>
          <w:color w:val="000000"/>
        </w:rPr>
        <w:t xml:space="preserve">62 </w:t>
      </w:r>
      <w:proofErr w:type="spellStart"/>
      <w:r w:rsidRPr="002D282F">
        <w:rPr>
          <w:color w:val="000000"/>
        </w:rPr>
        <w:t>nci</w:t>
      </w:r>
      <w:proofErr w:type="spellEnd"/>
      <w:proofErr w:type="gramEnd"/>
      <w:r w:rsidRPr="002D282F">
        <w:rPr>
          <w:color w:val="000000"/>
        </w:rPr>
        <w:t xml:space="preserve">, 63 üncü ve 84 üncü </w:t>
      </w:r>
      <w:r w:rsidR="008C5117" w:rsidRPr="002D282F">
        <w:rPr>
          <w:color w:val="000000"/>
        </w:rPr>
        <w:t xml:space="preserve">maddelerine, 10.01.2015 tarihli ve 29232 sayılı Resmi </w:t>
      </w:r>
      <w:proofErr w:type="spellStart"/>
      <w:r w:rsidR="008C5117" w:rsidRPr="002D282F">
        <w:rPr>
          <w:color w:val="000000"/>
        </w:rPr>
        <w:t>Gazete’de</w:t>
      </w:r>
      <w:proofErr w:type="spellEnd"/>
      <w:r w:rsidR="008C5117" w:rsidRPr="002D282F">
        <w:rPr>
          <w:color w:val="000000"/>
        </w:rPr>
        <w:t xml:space="preserve"> yayımlanan Ticari Reklam ve Haksız Ticari Uygulamalar Yönetmeliği</w:t>
      </w:r>
      <w:r w:rsidR="002951B1" w:rsidRPr="002D282F">
        <w:rPr>
          <w:color w:val="000000"/>
        </w:rPr>
        <w:t xml:space="preserve"> ile </w:t>
      </w:r>
      <w:r w:rsidR="00581799">
        <w:rPr>
          <w:color w:val="000000"/>
        </w:rPr>
        <w:t>12/09</w:t>
      </w:r>
      <w:r w:rsidR="00F772C3" w:rsidRPr="002D282F">
        <w:rPr>
          <w:color w:val="000000"/>
        </w:rPr>
        <w:t>/</w:t>
      </w:r>
      <w:r w:rsidR="006B091A" w:rsidRPr="002D282F">
        <w:rPr>
          <w:color w:val="000000"/>
        </w:rPr>
        <w:t>202</w:t>
      </w:r>
      <w:r w:rsidR="00F84232" w:rsidRPr="002D282F">
        <w:rPr>
          <w:color w:val="000000"/>
        </w:rPr>
        <w:t>3</w:t>
      </w:r>
      <w:r w:rsidR="002951B1" w:rsidRPr="002D282F">
        <w:t xml:space="preserve"> tarihli ve </w:t>
      </w:r>
      <w:r w:rsidR="00581799">
        <w:t xml:space="preserve">337 </w:t>
      </w:r>
      <w:r w:rsidR="002951B1" w:rsidRPr="002D282F">
        <w:t xml:space="preserve">sayılı Reklam Kurulu toplantısında alınan karara </w:t>
      </w:r>
      <w:r w:rsidRPr="002D282F">
        <w:rPr>
          <w:color w:val="000000"/>
        </w:rPr>
        <w:t>dayanılarak hazırlanmıştır.</w:t>
      </w:r>
      <w:r w:rsidR="006D3F8A" w:rsidRPr="002D282F">
        <w:rPr>
          <w:color w:val="000000"/>
        </w:rPr>
        <w:t xml:space="preserve"> </w:t>
      </w:r>
    </w:p>
    <w:p w14:paraId="10B7BAB9" w14:textId="77777777" w:rsidR="00FA5F28" w:rsidRPr="002D282F" w:rsidRDefault="00FA5F28" w:rsidP="002D282F">
      <w:pPr>
        <w:ind w:firstLine="567"/>
        <w:jc w:val="both"/>
        <w:rPr>
          <w:b/>
          <w:bCs/>
          <w:color w:val="000000"/>
        </w:rPr>
      </w:pPr>
    </w:p>
    <w:p w14:paraId="7382F696" w14:textId="77777777" w:rsidR="00660A65" w:rsidRPr="002D282F" w:rsidRDefault="00660A65" w:rsidP="002D282F">
      <w:pPr>
        <w:ind w:firstLine="709"/>
        <w:jc w:val="both"/>
        <w:rPr>
          <w:color w:val="000000"/>
        </w:rPr>
      </w:pPr>
      <w:r w:rsidRPr="002D282F">
        <w:rPr>
          <w:b/>
          <w:bCs/>
          <w:color w:val="000000"/>
        </w:rPr>
        <w:t>Tanımlar</w:t>
      </w:r>
    </w:p>
    <w:p w14:paraId="023ADF38" w14:textId="77777777" w:rsidR="003E0FBA" w:rsidRPr="002D282F" w:rsidRDefault="00660A65" w:rsidP="002D282F">
      <w:pPr>
        <w:ind w:firstLine="709"/>
        <w:jc w:val="both"/>
        <w:rPr>
          <w:color w:val="000000"/>
        </w:rPr>
      </w:pPr>
      <w:r w:rsidRPr="002D282F">
        <w:rPr>
          <w:b/>
          <w:bCs/>
          <w:color w:val="000000"/>
        </w:rPr>
        <w:t>MADDE 4 – </w:t>
      </w:r>
      <w:r w:rsidRPr="002D282F">
        <w:rPr>
          <w:color w:val="000000"/>
        </w:rPr>
        <w:t xml:space="preserve">(1) </w:t>
      </w:r>
      <w:r w:rsidR="003E0FBA" w:rsidRPr="002D282F">
        <w:rPr>
          <w:color w:val="000000"/>
        </w:rPr>
        <w:t>Yönetmelikte yer verilen tanımlara ilave olarak bu Kılavuzun uygulanmasında;</w:t>
      </w:r>
    </w:p>
    <w:p w14:paraId="27920B3C" w14:textId="77777777" w:rsidR="00CC7890" w:rsidRPr="00CC7890" w:rsidRDefault="00865214" w:rsidP="00CC7890">
      <w:pPr>
        <w:ind w:firstLine="709"/>
        <w:jc w:val="both"/>
      </w:pPr>
      <w:r w:rsidRPr="00865214">
        <w:rPr>
          <w:color w:val="000000"/>
        </w:rPr>
        <w:t>a)</w:t>
      </w:r>
      <w:r>
        <w:rPr>
          <w:color w:val="000000"/>
        </w:rPr>
        <w:t xml:space="preserve"> </w:t>
      </w:r>
      <w:r w:rsidR="00B92077" w:rsidRPr="00865214">
        <w:rPr>
          <w:color w:val="000000"/>
        </w:rPr>
        <w:t>Aracı hizmet sağlayıc</w:t>
      </w:r>
      <w:r w:rsidR="00B92077" w:rsidRPr="006C13FA">
        <w:t>ı:</w:t>
      </w:r>
      <w:r w:rsidR="00B92077" w:rsidRPr="002D282F">
        <w:t xml:space="preserve"> </w:t>
      </w:r>
      <w:r w:rsidR="00DB7C99" w:rsidRPr="00DB7C99">
        <w:t>Oluşturduğu sistem ile uzaktan iletişim araçlarını kullanmak veya kullandırmak suretiyle satıcı veya sağlayıcı adına mesafeli sözleşme kurulmasına aracılık eden gerçek veya tüzel kişiyi,</w:t>
      </w:r>
    </w:p>
    <w:p w14:paraId="28C5D6DD" w14:textId="77777777" w:rsidR="00CC7890" w:rsidRDefault="00CC7890" w:rsidP="006C3E69">
      <w:pPr>
        <w:ind w:firstLine="709"/>
        <w:jc w:val="both"/>
      </w:pPr>
      <w:r w:rsidRPr="006C3E69">
        <w:t xml:space="preserve">b) </w:t>
      </w:r>
      <w:r w:rsidR="00530225">
        <w:t>İ</w:t>
      </w:r>
      <w:r w:rsidRPr="006C3E69">
        <w:t>nternet ortamı</w:t>
      </w:r>
      <w:r w:rsidR="00057283">
        <w:t>:</w:t>
      </w:r>
      <w:r w:rsidRPr="006C3E69">
        <w:t xml:space="preserve"> </w:t>
      </w:r>
      <w:r w:rsidR="006C3E69" w:rsidRPr="006C3E69">
        <w:t>Haberleşme ile kişisel veya kurumsal bilgisayar sistemleri dışında kalan ve kamuya açık olan internet üzerinde oluşturulan ortamı,</w:t>
      </w:r>
    </w:p>
    <w:p w14:paraId="48D0B380" w14:textId="77777777" w:rsidR="00F96DD7" w:rsidRPr="006C3E69" w:rsidRDefault="00395056" w:rsidP="00F96DD7">
      <w:pPr>
        <w:ind w:firstLine="709"/>
        <w:jc w:val="both"/>
      </w:pPr>
      <w:r>
        <w:lastRenderedPageBreak/>
        <w:t>c)</w:t>
      </w:r>
      <w:r w:rsidR="000B4E49">
        <w:t xml:space="preserve"> </w:t>
      </w:r>
      <w:r w:rsidR="00F96DD7">
        <w:t>Platform: Kamu hizmetlerinin tek noktadan sunulduğu ortak kamu elektronik platformu hariç olmak üzere,</w:t>
      </w:r>
      <w:r>
        <w:t xml:space="preserve"> </w:t>
      </w:r>
      <w:r w:rsidR="00F96DD7">
        <w:t>aracı hizmet sağlayıcının mesafeli</w:t>
      </w:r>
      <w:r>
        <w:t xml:space="preserve"> </w:t>
      </w:r>
      <w:r w:rsidR="00F96DD7">
        <w:t>sözleşme kurulmasına aracılık etmek üzere oluşturduğu sistemi,</w:t>
      </w:r>
    </w:p>
    <w:p w14:paraId="09831FD4" w14:textId="77777777" w:rsidR="00701F5A" w:rsidRDefault="00395056" w:rsidP="00701F5A">
      <w:pPr>
        <w:ind w:firstLine="709"/>
        <w:jc w:val="both"/>
      </w:pPr>
      <w:proofErr w:type="gramStart"/>
      <w:r>
        <w:t>ç</w:t>
      </w:r>
      <w:proofErr w:type="gramEnd"/>
      <w:r w:rsidR="00613230" w:rsidRPr="002D282F">
        <w:t xml:space="preserve">) Reklam Kurulu: </w:t>
      </w:r>
      <w:r w:rsidR="00613230" w:rsidRPr="002D282F">
        <w:rPr>
          <w:color w:val="000000"/>
        </w:rPr>
        <w:t>6502 sayılı Kanunun 63 üncü maddesi</w:t>
      </w:r>
      <w:r w:rsidR="000103FC" w:rsidRPr="002D282F">
        <w:rPr>
          <w:color w:val="000000"/>
        </w:rPr>
        <w:t xml:space="preserve"> uyarınca </w:t>
      </w:r>
      <w:r w:rsidR="00613230" w:rsidRPr="002D282F">
        <w:rPr>
          <w:color w:val="000000"/>
        </w:rPr>
        <w:t>oluşturulan</w:t>
      </w:r>
      <w:r w:rsidR="004C0744" w:rsidRPr="002D282F">
        <w:rPr>
          <w:color w:val="000000"/>
        </w:rPr>
        <w:t xml:space="preserve"> </w:t>
      </w:r>
      <w:r w:rsidR="00613230" w:rsidRPr="002D282F">
        <w:rPr>
          <w:color w:val="000000"/>
        </w:rPr>
        <w:t>Kurulu,</w:t>
      </w:r>
    </w:p>
    <w:p w14:paraId="0668B1D4" w14:textId="77777777" w:rsidR="00F96DD7" w:rsidRPr="002D282F" w:rsidRDefault="00395056" w:rsidP="00F96DD7">
      <w:pPr>
        <w:ind w:firstLine="709"/>
        <w:jc w:val="both"/>
      </w:pPr>
      <w:r>
        <w:t>d</w:t>
      </w:r>
      <w:r w:rsidR="00F96DD7" w:rsidRPr="002D282F">
        <w:t>) Sağlayıcı: Kamu tüzel kişileri de dâhil olmak üzere ticari veya mesleki amaçlarla tüketiciye hizmet sunan ya da hizmet sunanın adına ya da hesabına hareket eden gerçek veya tüzel kişiyi,</w:t>
      </w:r>
    </w:p>
    <w:p w14:paraId="797AD320" w14:textId="77777777" w:rsidR="00F96DD7" w:rsidRPr="002E6CA0" w:rsidRDefault="00395056" w:rsidP="00F96DD7">
      <w:pPr>
        <w:ind w:firstLine="709"/>
        <w:jc w:val="both"/>
        <w:rPr>
          <w:color w:val="000000" w:themeColor="text1"/>
        </w:rPr>
      </w:pPr>
      <w:r>
        <w:t>e</w:t>
      </w:r>
      <w:r w:rsidR="00F96DD7" w:rsidRPr="002D282F">
        <w:t>) Satıcı: Kamu tüzel kişileri de dâhil olmak üzere ticari veya mesleki amaçlarla tüketiciye mal sunan ya da mal sunanın adına ya da hesabına hareket eden gerçek veya tüzel kişiyi,</w:t>
      </w:r>
    </w:p>
    <w:p w14:paraId="78026CE8" w14:textId="77777777" w:rsidR="006424B0" w:rsidRDefault="00395056" w:rsidP="006424B0">
      <w:pPr>
        <w:ind w:firstLine="709"/>
        <w:jc w:val="both"/>
        <w:rPr>
          <w:color w:val="000000"/>
        </w:rPr>
      </w:pPr>
      <w:r w:rsidRPr="002E6CA0">
        <w:rPr>
          <w:color w:val="000000" w:themeColor="text1"/>
        </w:rPr>
        <w:t>f</w:t>
      </w:r>
      <w:r w:rsidR="00CC7890" w:rsidRPr="002E6CA0">
        <w:rPr>
          <w:color w:val="000000" w:themeColor="text1"/>
        </w:rPr>
        <w:t xml:space="preserve">) Tüketici değerlendirmesi: </w:t>
      </w:r>
      <w:r w:rsidR="001D5BA6" w:rsidRPr="002E6CA0">
        <w:rPr>
          <w:color w:val="000000" w:themeColor="text1"/>
        </w:rPr>
        <w:t>S</w:t>
      </w:r>
      <w:r w:rsidR="00CC7890" w:rsidRPr="002E6CA0">
        <w:rPr>
          <w:color w:val="000000" w:themeColor="text1"/>
        </w:rPr>
        <w:t>atın alınan bir mal veya hizmete ya da satıcı veya sağlayıcı ile aracı hizmet sağlayıcıya ilişkin tüketiciler</w:t>
      </w:r>
      <w:r w:rsidR="006F3372" w:rsidRPr="002E6CA0">
        <w:rPr>
          <w:color w:val="000000" w:themeColor="text1"/>
        </w:rPr>
        <w:t xml:space="preserve"> tarafından </w:t>
      </w:r>
      <w:r w:rsidR="001D5BA6" w:rsidRPr="002E6CA0">
        <w:rPr>
          <w:color w:val="000000" w:themeColor="text1"/>
        </w:rPr>
        <w:t xml:space="preserve">internet ortamında </w:t>
      </w:r>
      <w:r w:rsidR="00CC7890" w:rsidRPr="002E6CA0">
        <w:rPr>
          <w:color w:val="000000" w:themeColor="text1"/>
        </w:rPr>
        <w:t xml:space="preserve">yapılan </w:t>
      </w:r>
      <w:r w:rsidR="00CC7890" w:rsidRPr="009F69D1">
        <w:rPr>
          <w:color w:val="000000"/>
        </w:rPr>
        <w:t>her türlü tüketici deneyimini belirten ifade, onay ve derecelendirme uygulamalarını,</w:t>
      </w:r>
      <w:r w:rsidR="00CC7890">
        <w:rPr>
          <w:color w:val="000000"/>
        </w:rPr>
        <w:t xml:space="preserve"> </w:t>
      </w:r>
    </w:p>
    <w:p w14:paraId="1018EAE8" w14:textId="77777777" w:rsidR="006424B0" w:rsidRPr="0012429B" w:rsidRDefault="00395056" w:rsidP="006424B0">
      <w:pPr>
        <w:ind w:firstLine="709"/>
        <w:jc w:val="both"/>
      </w:pPr>
      <w:r>
        <w:rPr>
          <w:color w:val="000000"/>
        </w:rPr>
        <w:t>g</w:t>
      </w:r>
      <w:r w:rsidR="006424B0">
        <w:rPr>
          <w:color w:val="000000"/>
        </w:rPr>
        <w:t>)</w:t>
      </w:r>
      <w:r w:rsidR="00057283">
        <w:rPr>
          <w:color w:val="000000"/>
        </w:rPr>
        <w:t xml:space="preserve"> </w:t>
      </w:r>
      <w:r w:rsidR="006424B0" w:rsidRPr="006424B0">
        <w:t>Yan sözleşme: Bir mesafeli sözleşme ile ilişkili olarak satıcı, sağlayıcı</w:t>
      </w:r>
      <w:r w:rsidR="006F3372">
        <w:t>, aracı hizmet sağlayıcı</w:t>
      </w:r>
      <w:r w:rsidR="006424B0" w:rsidRPr="006424B0">
        <w:t xml:space="preserve"> ya da üçüncü bir kişi tarafından sözleşme konusu mal ya da hizmete ilave olarak tüketiciye sağlanan mal veya </w:t>
      </w:r>
      <w:r w:rsidR="006424B0" w:rsidRPr="0012429B">
        <w:t>hizmete ilişkin sözleşmeyi</w:t>
      </w:r>
      <w:r w:rsidR="00057283" w:rsidRPr="0012429B">
        <w:t>,</w:t>
      </w:r>
    </w:p>
    <w:p w14:paraId="26F88C0B" w14:textId="77777777" w:rsidR="00BB5F65" w:rsidRDefault="000B4E49" w:rsidP="000B4E49">
      <w:pPr>
        <w:ind w:firstLine="709"/>
        <w:jc w:val="both"/>
        <w:rPr>
          <w:color w:val="000000"/>
        </w:rPr>
      </w:pPr>
      <w:proofErr w:type="gramStart"/>
      <w:r>
        <w:rPr>
          <w:color w:val="000000"/>
        </w:rPr>
        <w:t>ğ</w:t>
      </w:r>
      <w:proofErr w:type="gramEnd"/>
      <w:r w:rsidR="00613230" w:rsidRPr="0012429B">
        <w:rPr>
          <w:color w:val="000000"/>
        </w:rPr>
        <w:t>) Yönetmelik: Ticari Reklam ve Haksız</w:t>
      </w:r>
      <w:r w:rsidR="00DA15DF" w:rsidRPr="0012429B">
        <w:rPr>
          <w:color w:val="000000"/>
        </w:rPr>
        <w:t xml:space="preserve"> Ticari Uygulamalar Yönetmeliği</w:t>
      </w:r>
      <w:r w:rsidR="00613230" w:rsidRPr="0012429B">
        <w:rPr>
          <w:color w:val="000000"/>
        </w:rPr>
        <w:t>ni,</w:t>
      </w:r>
      <w:r w:rsidR="00B30122" w:rsidRPr="0012429B">
        <w:rPr>
          <w:color w:val="000000"/>
        </w:rPr>
        <w:t xml:space="preserve"> </w:t>
      </w:r>
      <w:r w:rsidR="00BB5F65" w:rsidRPr="0012429B">
        <w:rPr>
          <w:color w:val="000000"/>
        </w:rPr>
        <w:t>ifade eder.</w:t>
      </w:r>
    </w:p>
    <w:p w14:paraId="28213998" w14:textId="77777777" w:rsidR="00DA4C32" w:rsidRDefault="00DA4C32" w:rsidP="002F34F1">
      <w:pPr>
        <w:rPr>
          <w:b/>
          <w:bCs/>
          <w:color w:val="000000"/>
        </w:rPr>
      </w:pPr>
    </w:p>
    <w:p w14:paraId="1DAB4D85" w14:textId="77777777" w:rsidR="00660A65" w:rsidRPr="002D282F" w:rsidRDefault="00660A65" w:rsidP="002D282F">
      <w:pPr>
        <w:jc w:val="center"/>
        <w:rPr>
          <w:color w:val="000000"/>
        </w:rPr>
      </w:pPr>
      <w:r w:rsidRPr="002D282F">
        <w:rPr>
          <w:b/>
          <w:bCs/>
          <w:color w:val="000000"/>
        </w:rPr>
        <w:t>İKİNCİ BÖLÜM</w:t>
      </w:r>
    </w:p>
    <w:p w14:paraId="4FC99DDD" w14:textId="77777777" w:rsidR="00DF6356" w:rsidRDefault="00660A65" w:rsidP="00850ECE">
      <w:pPr>
        <w:jc w:val="center"/>
        <w:rPr>
          <w:color w:val="000000"/>
        </w:rPr>
      </w:pPr>
      <w:r w:rsidRPr="002D282F">
        <w:rPr>
          <w:b/>
          <w:bCs/>
          <w:color w:val="000000"/>
        </w:rPr>
        <w:t>Genel Esaslar</w:t>
      </w:r>
    </w:p>
    <w:p w14:paraId="04BA0A1F" w14:textId="77777777" w:rsidR="00850ECE" w:rsidRPr="00850ECE" w:rsidRDefault="00850ECE" w:rsidP="00850ECE">
      <w:pPr>
        <w:jc w:val="center"/>
        <w:rPr>
          <w:color w:val="000000"/>
        </w:rPr>
      </w:pPr>
    </w:p>
    <w:p w14:paraId="7022EAC6" w14:textId="77777777" w:rsidR="00660A65" w:rsidRPr="002D282F" w:rsidRDefault="00200AD7" w:rsidP="002D282F">
      <w:pPr>
        <w:ind w:firstLine="709"/>
        <w:jc w:val="both"/>
        <w:rPr>
          <w:color w:val="000000"/>
        </w:rPr>
      </w:pPr>
      <w:r w:rsidRPr="002D282F">
        <w:rPr>
          <w:b/>
        </w:rPr>
        <w:t>Temel ilkeler</w:t>
      </w:r>
    </w:p>
    <w:p w14:paraId="0695B1E2" w14:textId="77777777" w:rsidR="00603393" w:rsidRPr="00D60187" w:rsidRDefault="00660A65" w:rsidP="00603393">
      <w:pPr>
        <w:ind w:firstLine="709"/>
        <w:jc w:val="both"/>
        <w:rPr>
          <w:color w:val="000000"/>
        </w:rPr>
      </w:pPr>
      <w:r w:rsidRPr="002D282F">
        <w:rPr>
          <w:b/>
          <w:bCs/>
          <w:color w:val="000000"/>
        </w:rPr>
        <w:t>MADDE 5 –</w:t>
      </w:r>
      <w:r w:rsidRPr="002D282F">
        <w:rPr>
          <w:color w:val="000000"/>
        </w:rPr>
        <w:t> </w:t>
      </w:r>
      <w:r w:rsidR="00291FB6" w:rsidRPr="00D60187">
        <w:rPr>
          <w:color w:val="000000"/>
        </w:rPr>
        <w:t xml:space="preserve">(1) </w:t>
      </w:r>
      <w:r w:rsidR="00603393" w:rsidRPr="00D60187">
        <w:rPr>
          <w:color w:val="000000"/>
        </w:rPr>
        <w:t>Tüketici değerlendirmeleri, satıcı, sağlayıcı veya aracı hizmet sağlayıcı tarafından tüketicilere sunulan bir mal veya hizmetin üretim süreçleri dahil niteliği, kullanım kolaylığı, tanıtımı, satışı veya tedariki ile doğrudan bağlantılı değerlendirmelerdir.</w:t>
      </w:r>
    </w:p>
    <w:p w14:paraId="37D5D9A2" w14:textId="77777777" w:rsidR="00FA16BB" w:rsidRDefault="00603393" w:rsidP="00603393">
      <w:pPr>
        <w:ind w:firstLine="709"/>
        <w:jc w:val="both"/>
        <w:rPr>
          <w:color w:val="000000"/>
        </w:rPr>
      </w:pPr>
      <w:r w:rsidRPr="00D60187">
        <w:rPr>
          <w:color w:val="000000"/>
        </w:rPr>
        <w:t xml:space="preserve">(2) Tüketici değerlendirmeleri, bir tüketicinin satın aldığı mal veya hizmete ilişkin olabileceği gibi o </w:t>
      </w:r>
      <w:r w:rsidRPr="007F5539">
        <w:t>mal veya hizmeti sunan satıcı, sağlayıcı ya da aracı hizmet sağlayıcı</w:t>
      </w:r>
      <w:r w:rsidR="005C29B2" w:rsidRPr="007F5539">
        <w:t xml:space="preserve"> hakkındaki hususlar ile</w:t>
      </w:r>
      <w:r w:rsidRPr="007F5539">
        <w:t xml:space="preserve"> teslimat</w:t>
      </w:r>
      <w:r w:rsidR="001D12F2" w:rsidRPr="007F5539">
        <w:t>, kredi ve sigorta</w:t>
      </w:r>
      <w:r w:rsidRPr="007F5539">
        <w:t xml:space="preserve"> </w:t>
      </w:r>
      <w:r w:rsidR="00D60187" w:rsidRPr="007F5539">
        <w:t xml:space="preserve">hizmeti </w:t>
      </w:r>
      <w:r w:rsidRPr="00D60187">
        <w:rPr>
          <w:color w:val="000000"/>
        </w:rPr>
        <w:t>gibi yan sözleşmeler</w:t>
      </w:r>
      <w:r w:rsidR="005C29B2">
        <w:rPr>
          <w:color w:val="000000"/>
        </w:rPr>
        <w:t>i</w:t>
      </w:r>
      <w:r w:rsidR="006424B0">
        <w:rPr>
          <w:color w:val="000000"/>
        </w:rPr>
        <w:t xml:space="preserve"> </w:t>
      </w:r>
      <w:r w:rsidRPr="00D60187">
        <w:rPr>
          <w:color w:val="000000"/>
        </w:rPr>
        <w:t>de içerebilir.</w:t>
      </w:r>
      <w:r w:rsidR="005C29B2">
        <w:rPr>
          <w:color w:val="000000"/>
        </w:rPr>
        <w:t xml:space="preserve"> </w:t>
      </w:r>
    </w:p>
    <w:p w14:paraId="220AEDFA" w14:textId="77777777" w:rsidR="00F315FA" w:rsidRPr="00530225" w:rsidRDefault="00F315FA" w:rsidP="00F315FA">
      <w:pPr>
        <w:ind w:firstLine="709"/>
        <w:jc w:val="both"/>
        <w:rPr>
          <w:color w:val="000000"/>
        </w:rPr>
      </w:pPr>
      <w:r w:rsidRPr="00530225">
        <w:rPr>
          <w:color w:val="000000"/>
        </w:rPr>
        <w:t xml:space="preserve">“A” isimli aracı hizmet sağlayıcıya ait </w:t>
      </w:r>
      <w:r>
        <w:rPr>
          <w:color w:val="000000"/>
        </w:rPr>
        <w:t xml:space="preserve">platformda </w:t>
      </w:r>
      <w:r w:rsidRPr="00530225">
        <w:rPr>
          <w:color w:val="000000"/>
        </w:rPr>
        <w:t>faaliyet gösteren “B” satıcısından satın al</w:t>
      </w:r>
      <w:r>
        <w:rPr>
          <w:color w:val="000000"/>
        </w:rPr>
        <w:t>ın</w:t>
      </w:r>
      <w:r w:rsidRPr="00530225">
        <w:rPr>
          <w:color w:val="000000"/>
        </w:rPr>
        <w:t xml:space="preserve">an bir </w:t>
      </w:r>
      <w:r>
        <w:rPr>
          <w:color w:val="000000"/>
        </w:rPr>
        <w:t xml:space="preserve">mal veya hizmete yönelik yapılan </w:t>
      </w:r>
      <w:r w:rsidRPr="00530225">
        <w:rPr>
          <w:color w:val="000000"/>
        </w:rPr>
        <w:t>tüketici</w:t>
      </w:r>
      <w:r>
        <w:rPr>
          <w:color w:val="000000"/>
        </w:rPr>
        <w:t xml:space="preserve"> değerlendirmelerine aşağıdaki örnekler verilebilir</w:t>
      </w:r>
      <w:r w:rsidRPr="00530225">
        <w:rPr>
          <w:color w:val="000000"/>
        </w:rPr>
        <w:t>:</w:t>
      </w:r>
    </w:p>
    <w:p w14:paraId="1858464C" w14:textId="77777777" w:rsidR="00F315FA" w:rsidRPr="00530225" w:rsidRDefault="00F315FA" w:rsidP="00F315FA">
      <w:pPr>
        <w:ind w:firstLine="709"/>
        <w:jc w:val="both"/>
        <w:rPr>
          <w:color w:val="000000"/>
        </w:rPr>
      </w:pPr>
      <w:r w:rsidRPr="00530225">
        <w:rPr>
          <w:color w:val="000000"/>
        </w:rPr>
        <w:t>- “</w:t>
      </w:r>
      <w:r w:rsidRPr="00530225">
        <w:rPr>
          <w:i/>
          <w:iCs/>
          <w:color w:val="000000"/>
        </w:rPr>
        <w:t>Gömleğin rengi görselde göründüğü gibi</w:t>
      </w:r>
      <w:r w:rsidRPr="00530225">
        <w:rPr>
          <w:color w:val="000000"/>
        </w:rPr>
        <w:t>.”, “</w:t>
      </w:r>
      <w:r w:rsidRPr="00530225">
        <w:rPr>
          <w:i/>
          <w:iCs/>
          <w:color w:val="000000"/>
        </w:rPr>
        <w:t>Gömlek rahat ve kullanışlı değil</w:t>
      </w:r>
      <w:r w:rsidRPr="00530225">
        <w:rPr>
          <w:color w:val="000000"/>
        </w:rPr>
        <w:t>.” gibi satın al</w:t>
      </w:r>
      <w:r>
        <w:rPr>
          <w:color w:val="000000"/>
        </w:rPr>
        <w:t>ınan</w:t>
      </w:r>
      <w:r w:rsidRPr="00530225">
        <w:rPr>
          <w:color w:val="000000"/>
        </w:rPr>
        <w:t xml:space="preserve"> mal</w:t>
      </w:r>
      <w:r>
        <w:rPr>
          <w:color w:val="000000"/>
        </w:rPr>
        <w:t xml:space="preserve"> hakkında yapılan değerlendirmeler.</w:t>
      </w:r>
    </w:p>
    <w:p w14:paraId="0D8D871D" w14:textId="77777777" w:rsidR="00F315FA" w:rsidRPr="0012429B" w:rsidRDefault="00F315FA" w:rsidP="00F315FA">
      <w:pPr>
        <w:ind w:firstLine="709"/>
        <w:jc w:val="both"/>
        <w:rPr>
          <w:color w:val="000000"/>
        </w:rPr>
      </w:pPr>
      <w:r w:rsidRPr="00530225">
        <w:rPr>
          <w:color w:val="000000"/>
        </w:rPr>
        <w:t>- “</w:t>
      </w:r>
      <w:r w:rsidR="00771F02" w:rsidRPr="00771F02">
        <w:rPr>
          <w:i/>
          <w:iCs/>
          <w:color w:val="000000"/>
        </w:rPr>
        <w:t>B</w:t>
      </w:r>
      <w:r w:rsidR="00771F02">
        <w:rPr>
          <w:i/>
          <w:iCs/>
          <w:color w:val="000000"/>
        </w:rPr>
        <w:t>, ü</w:t>
      </w:r>
      <w:r>
        <w:rPr>
          <w:i/>
          <w:iCs/>
          <w:color w:val="000000"/>
        </w:rPr>
        <w:t>rün</w:t>
      </w:r>
      <w:r w:rsidR="00771F02">
        <w:rPr>
          <w:i/>
          <w:iCs/>
          <w:color w:val="000000"/>
        </w:rPr>
        <w:t>ü</w:t>
      </w:r>
      <w:r>
        <w:rPr>
          <w:i/>
          <w:iCs/>
          <w:color w:val="000000"/>
        </w:rPr>
        <w:t xml:space="preserve"> özensiz paketlemiş,</w:t>
      </w:r>
      <w:r w:rsidRPr="00530225">
        <w:rPr>
          <w:color w:val="000000"/>
        </w:rPr>
        <w:t>” gibi satın alınan ma</w:t>
      </w:r>
      <w:r w:rsidRPr="0074693A">
        <w:rPr>
          <w:color w:val="000000"/>
        </w:rPr>
        <w:t>lın</w:t>
      </w:r>
      <w:r w:rsidRPr="00530225">
        <w:rPr>
          <w:color w:val="000000"/>
        </w:rPr>
        <w:t xml:space="preserve"> </w:t>
      </w:r>
      <w:r>
        <w:rPr>
          <w:color w:val="000000"/>
        </w:rPr>
        <w:t>“B</w:t>
      </w:r>
      <w:r w:rsidRPr="0012429B">
        <w:rPr>
          <w:color w:val="000000"/>
        </w:rPr>
        <w:t>” isimli satıcı</w:t>
      </w:r>
      <w:r>
        <w:rPr>
          <w:color w:val="000000"/>
        </w:rPr>
        <w:t>sına</w:t>
      </w:r>
      <w:r w:rsidRPr="0012429B">
        <w:rPr>
          <w:color w:val="000000"/>
        </w:rPr>
        <w:t xml:space="preserve"> yönelik yap</w:t>
      </w:r>
      <w:r>
        <w:rPr>
          <w:color w:val="000000"/>
        </w:rPr>
        <w:t>ılan değerlendirmeler.</w:t>
      </w:r>
    </w:p>
    <w:p w14:paraId="09850B2D" w14:textId="77777777" w:rsidR="00F315FA" w:rsidRPr="00530225" w:rsidRDefault="00F315FA" w:rsidP="00F315FA">
      <w:pPr>
        <w:ind w:firstLine="709"/>
        <w:jc w:val="both"/>
        <w:rPr>
          <w:color w:val="000000"/>
        </w:rPr>
      </w:pPr>
      <w:r w:rsidRPr="0012429B">
        <w:rPr>
          <w:color w:val="000000"/>
        </w:rPr>
        <w:t>- “</w:t>
      </w:r>
      <w:r w:rsidRPr="0012429B">
        <w:rPr>
          <w:i/>
          <w:iCs/>
          <w:color w:val="000000"/>
        </w:rPr>
        <w:t>Bir gün içinde elime ulaştı.”, “Hasarsız ve hızlı ulaştı.</w:t>
      </w:r>
      <w:r w:rsidRPr="0012429B">
        <w:rPr>
          <w:color w:val="000000"/>
        </w:rPr>
        <w:t xml:space="preserve">” gibi yan sözleşmelere yönelik </w:t>
      </w:r>
      <w:r>
        <w:rPr>
          <w:color w:val="000000"/>
        </w:rPr>
        <w:t>değerlendirmeler.</w:t>
      </w:r>
    </w:p>
    <w:p w14:paraId="500A7432" w14:textId="77777777" w:rsidR="00F315FA" w:rsidRDefault="00F315FA" w:rsidP="00F315FA">
      <w:pPr>
        <w:ind w:firstLine="709"/>
        <w:jc w:val="both"/>
        <w:rPr>
          <w:color w:val="000000"/>
        </w:rPr>
      </w:pPr>
      <w:r w:rsidRPr="00530225">
        <w:rPr>
          <w:color w:val="000000"/>
        </w:rPr>
        <w:t>- “</w:t>
      </w:r>
      <w:r w:rsidRPr="00530225">
        <w:rPr>
          <w:i/>
          <w:iCs/>
          <w:color w:val="000000"/>
        </w:rPr>
        <w:t>A’nın bu gömleğe ilişkin iptal süreci çok karmaşık</w:t>
      </w:r>
      <w:r w:rsidRPr="00530225">
        <w:rPr>
          <w:color w:val="000000"/>
        </w:rPr>
        <w:t>.”, “</w:t>
      </w:r>
      <w:r w:rsidRPr="00530225">
        <w:rPr>
          <w:i/>
          <w:iCs/>
          <w:color w:val="000000"/>
        </w:rPr>
        <w:t>A’nın müşteri temsilcisi hatalı gelen ürünle ilgili talebimi hızlı çözdü</w:t>
      </w:r>
      <w:r w:rsidRPr="00530225">
        <w:rPr>
          <w:color w:val="000000"/>
        </w:rPr>
        <w:t>” gibi</w:t>
      </w:r>
      <w:r>
        <w:rPr>
          <w:color w:val="000000"/>
        </w:rPr>
        <w:t xml:space="preserve"> “A” isimli</w:t>
      </w:r>
      <w:r w:rsidRPr="00530225">
        <w:rPr>
          <w:color w:val="000000"/>
        </w:rPr>
        <w:t xml:space="preserve"> aracı hizmet sağlayıcıya yönelik değerlendirmeler</w:t>
      </w:r>
      <w:r>
        <w:rPr>
          <w:color w:val="000000"/>
        </w:rPr>
        <w:t>.</w:t>
      </w:r>
    </w:p>
    <w:p w14:paraId="3C187A81" w14:textId="77777777" w:rsidR="00CB464E" w:rsidRDefault="00291FB6" w:rsidP="00CB464E">
      <w:pPr>
        <w:ind w:firstLine="709"/>
        <w:jc w:val="both"/>
        <w:rPr>
          <w:color w:val="000000"/>
        </w:rPr>
      </w:pPr>
      <w:r w:rsidRPr="00291FB6">
        <w:rPr>
          <w:color w:val="000000"/>
        </w:rPr>
        <w:t xml:space="preserve">(3) </w:t>
      </w:r>
      <w:r w:rsidR="00833B98">
        <w:rPr>
          <w:color w:val="000000"/>
        </w:rPr>
        <w:t>Satın</w:t>
      </w:r>
      <w:r w:rsidRPr="00291FB6">
        <w:rPr>
          <w:color w:val="000000"/>
        </w:rPr>
        <w:t xml:space="preserve"> alınan mal veya hizmete ilişkin yazılan yorum</w:t>
      </w:r>
      <w:r w:rsidR="00346902">
        <w:rPr>
          <w:color w:val="000000"/>
        </w:rPr>
        <w:t xml:space="preserve"> ya da</w:t>
      </w:r>
      <w:r w:rsidRPr="00291FB6">
        <w:rPr>
          <w:color w:val="000000"/>
        </w:rPr>
        <w:t xml:space="preserve"> verilen puan veya yıldız gibi derecelendirme uygulama</w:t>
      </w:r>
      <w:r w:rsidR="00833B98">
        <w:rPr>
          <w:color w:val="000000"/>
        </w:rPr>
        <w:t>ları da tüketici değerlendirmeleri kapsamındadır.</w:t>
      </w:r>
      <w:r w:rsidRPr="00291FB6">
        <w:rPr>
          <w:color w:val="000000"/>
        </w:rPr>
        <w:t xml:space="preserve"> Satıcı, sağlayıcı veya aracı hizmet sağlayıcı tarafından </w:t>
      </w:r>
      <w:r w:rsidR="00346902">
        <w:rPr>
          <w:color w:val="000000"/>
        </w:rPr>
        <w:t>her iki</w:t>
      </w:r>
      <w:r w:rsidRPr="00291FB6">
        <w:rPr>
          <w:color w:val="000000"/>
        </w:rPr>
        <w:t xml:space="preserve"> nitelikte değerlen</w:t>
      </w:r>
      <w:r w:rsidR="001E3F1B">
        <w:rPr>
          <w:color w:val="000000"/>
        </w:rPr>
        <w:t>dir</w:t>
      </w:r>
      <w:r w:rsidRPr="00291FB6">
        <w:rPr>
          <w:color w:val="000000"/>
        </w:rPr>
        <w:t>me yapma imkânı, birlikte veya ayrı ayrı sunulabilir.</w:t>
      </w:r>
    </w:p>
    <w:p w14:paraId="122086A0" w14:textId="77777777" w:rsidR="00666C73" w:rsidRDefault="00CB464E" w:rsidP="00CB464E">
      <w:pPr>
        <w:ind w:firstLine="709"/>
        <w:jc w:val="both"/>
        <w:rPr>
          <w:color w:val="000000"/>
        </w:rPr>
      </w:pPr>
      <w:r w:rsidRPr="00110793">
        <w:rPr>
          <w:color w:val="000000"/>
        </w:rPr>
        <w:t>(4) İnternet ortamında değerlendirme yap</w:t>
      </w:r>
      <w:r w:rsidR="003C50A6">
        <w:rPr>
          <w:color w:val="000000"/>
        </w:rPr>
        <w:t>ıl</w:t>
      </w:r>
      <w:r w:rsidRPr="00110793">
        <w:rPr>
          <w:color w:val="000000"/>
        </w:rPr>
        <w:t>masına imkân sağlanması durumunda bu değerlendirmelerin, sadece ilgili mal veya hizmeti satın alanlar tarafından yapılmasına izin verilir</w:t>
      </w:r>
      <w:r w:rsidRPr="00CB464E">
        <w:rPr>
          <w:color w:val="000000"/>
        </w:rPr>
        <w:t xml:space="preserve">. </w:t>
      </w:r>
      <w:r w:rsidR="003C50A6">
        <w:rPr>
          <w:color w:val="000000"/>
        </w:rPr>
        <w:t>Sipariş iptali</w:t>
      </w:r>
      <w:r w:rsidR="00FD7F62">
        <w:rPr>
          <w:color w:val="000000"/>
        </w:rPr>
        <w:t>, sözleşmenin feshi</w:t>
      </w:r>
      <w:r w:rsidR="003C50A6">
        <w:rPr>
          <w:color w:val="000000"/>
        </w:rPr>
        <w:t xml:space="preserve"> veya cayma hakkı</w:t>
      </w:r>
      <w:r w:rsidR="00666C73">
        <w:rPr>
          <w:color w:val="000000"/>
        </w:rPr>
        <w:t>nın</w:t>
      </w:r>
      <w:r w:rsidR="003C50A6">
        <w:rPr>
          <w:color w:val="000000"/>
        </w:rPr>
        <w:t xml:space="preserve"> kullanı</w:t>
      </w:r>
      <w:r w:rsidR="00666C73">
        <w:rPr>
          <w:color w:val="000000"/>
        </w:rPr>
        <w:t xml:space="preserve">lması </w:t>
      </w:r>
      <w:r w:rsidR="003C50A6">
        <w:rPr>
          <w:color w:val="000000"/>
        </w:rPr>
        <w:t xml:space="preserve">halinde satın alma sürecinin </w:t>
      </w:r>
      <w:r w:rsidRPr="00CB464E">
        <w:rPr>
          <w:color w:val="000000"/>
        </w:rPr>
        <w:t xml:space="preserve">geldiği </w:t>
      </w:r>
      <w:r w:rsidR="00833B98">
        <w:rPr>
          <w:color w:val="000000"/>
        </w:rPr>
        <w:t>aşama</w:t>
      </w:r>
      <w:r w:rsidR="008400F3">
        <w:rPr>
          <w:color w:val="000000"/>
        </w:rPr>
        <w:t>ya kadar olan süreçte</w:t>
      </w:r>
      <w:r w:rsidR="00833B98">
        <w:rPr>
          <w:color w:val="000000"/>
        </w:rPr>
        <w:t xml:space="preserve"> </w:t>
      </w:r>
      <w:r w:rsidRPr="00CB464E">
        <w:rPr>
          <w:color w:val="000000"/>
        </w:rPr>
        <w:t>yaşa</w:t>
      </w:r>
      <w:r w:rsidR="003C50A6">
        <w:rPr>
          <w:color w:val="000000"/>
        </w:rPr>
        <w:t>nan</w:t>
      </w:r>
      <w:r w:rsidRPr="00CB464E">
        <w:rPr>
          <w:color w:val="000000"/>
        </w:rPr>
        <w:t xml:space="preserve"> deneyimlerle sınırlı ol</w:t>
      </w:r>
      <w:r w:rsidR="003C50A6">
        <w:rPr>
          <w:color w:val="000000"/>
        </w:rPr>
        <w:t xml:space="preserve">arak yapılan değerlendirmeler de </w:t>
      </w:r>
      <w:r w:rsidRPr="00CB464E">
        <w:rPr>
          <w:color w:val="000000"/>
        </w:rPr>
        <w:t>satın alma kapsamında değerlendirilir.</w:t>
      </w:r>
      <w:r w:rsidR="00E34731">
        <w:rPr>
          <w:color w:val="000000"/>
        </w:rPr>
        <w:t xml:space="preserve"> </w:t>
      </w:r>
    </w:p>
    <w:p w14:paraId="04D960DA" w14:textId="77777777" w:rsidR="00CB464E" w:rsidRPr="00CB464E" w:rsidRDefault="00E34731" w:rsidP="00CB464E">
      <w:pPr>
        <w:ind w:firstLine="709"/>
        <w:jc w:val="both"/>
        <w:rPr>
          <w:color w:val="000000"/>
        </w:rPr>
      </w:pPr>
      <w:r>
        <w:rPr>
          <w:color w:val="000000"/>
        </w:rPr>
        <w:lastRenderedPageBreak/>
        <w:t xml:space="preserve">Örneğin, </w:t>
      </w:r>
      <w:r w:rsidR="001B04D0">
        <w:rPr>
          <w:color w:val="000000"/>
        </w:rPr>
        <w:t>t</w:t>
      </w:r>
      <w:r>
        <w:rPr>
          <w:color w:val="000000"/>
        </w:rPr>
        <w:t xml:space="preserve">üketici </w:t>
      </w:r>
      <w:r w:rsidR="003C50A6">
        <w:rPr>
          <w:color w:val="000000"/>
        </w:rPr>
        <w:t>“T”</w:t>
      </w:r>
      <w:r>
        <w:rPr>
          <w:color w:val="000000"/>
        </w:rPr>
        <w:t xml:space="preserve">, satın aldığı bir gömleğin teslimatında yaşadığı sorun nedeniyle </w:t>
      </w:r>
      <w:r w:rsidR="00FC730E">
        <w:rPr>
          <w:color w:val="000000"/>
        </w:rPr>
        <w:t xml:space="preserve">teslimin öncesinde ya da sonrasında </w:t>
      </w:r>
      <w:r>
        <w:rPr>
          <w:color w:val="000000"/>
        </w:rPr>
        <w:t xml:space="preserve">cayma hakkını kullanmış olabilir </w:t>
      </w:r>
      <w:r w:rsidRPr="00FD7F62">
        <w:rPr>
          <w:color w:val="000000"/>
        </w:rPr>
        <w:t xml:space="preserve">ve bu durumdan </w:t>
      </w:r>
      <w:r w:rsidR="00666C73">
        <w:rPr>
          <w:color w:val="000000"/>
        </w:rPr>
        <w:t>kaynakl</w:t>
      </w:r>
      <w:r w:rsidR="00ED30D7">
        <w:rPr>
          <w:color w:val="000000"/>
        </w:rPr>
        <w:t>anan</w:t>
      </w:r>
      <w:r w:rsidRPr="00FD7F62">
        <w:rPr>
          <w:color w:val="000000"/>
        </w:rPr>
        <w:t xml:space="preserve"> tecrübe</w:t>
      </w:r>
      <w:r w:rsidR="00ED30D7">
        <w:rPr>
          <w:color w:val="000000"/>
        </w:rPr>
        <w:t>si</w:t>
      </w:r>
      <w:r w:rsidRPr="00FD7F62">
        <w:rPr>
          <w:color w:val="000000"/>
        </w:rPr>
        <w:t>y</w:t>
      </w:r>
      <w:r w:rsidR="00A31270" w:rsidRPr="00FD7F62">
        <w:rPr>
          <w:color w:val="000000"/>
        </w:rPr>
        <w:t>l</w:t>
      </w:r>
      <w:r w:rsidRPr="00FD7F62">
        <w:rPr>
          <w:color w:val="000000"/>
        </w:rPr>
        <w:t>e</w:t>
      </w:r>
      <w:r w:rsidR="00A31270" w:rsidRPr="00FD7F62">
        <w:rPr>
          <w:color w:val="000000"/>
        </w:rPr>
        <w:t xml:space="preserve"> sınırlı </w:t>
      </w:r>
      <w:r w:rsidR="00FD7F62" w:rsidRPr="00FD7F62">
        <w:rPr>
          <w:color w:val="000000"/>
        </w:rPr>
        <w:t xml:space="preserve">olan bir </w:t>
      </w:r>
      <w:r w:rsidRPr="00FD7F62">
        <w:rPr>
          <w:color w:val="000000"/>
        </w:rPr>
        <w:t>değerlendirme</w:t>
      </w:r>
      <w:r w:rsidR="00FD7F62" w:rsidRPr="00FD7F62">
        <w:rPr>
          <w:color w:val="000000"/>
        </w:rPr>
        <w:t>y</w:t>
      </w:r>
      <w:r w:rsidRPr="00FD7F62">
        <w:rPr>
          <w:color w:val="000000"/>
        </w:rPr>
        <w:t>e yer ver</w:t>
      </w:r>
      <w:r w:rsidR="00FD7F62" w:rsidRPr="00FD7F62">
        <w:rPr>
          <w:color w:val="000000"/>
        </w:rPr>
        <w:t>ile</w:t>
      </w:r>
      <w:r w:rsidRPr="00FD7F62">
        <w:rPr>
          <w:color w:val="000000"/>
        </w:rPr>
        <w:t>bilir.</w:t>
      </w:r>
    </w:p>
    <w:p w14:paraId="22652B91" w14:textId="77777777" w:rsidR="00C96FED" w:rsidRDefault="00DA4C32" w:rsidP="002D282F">
      <w:pPr>
        <w:ind w:firstLine="709"/>
        <w:jc w:val="both"/>
        <w:rPr>
          <w:color w:val="000000"/>
        </w:rPr>
      </w:pPr>
      <w:r>
        <w:rPr>
          <w:color w:val="000000"/>
        </w:rPr>
        <w:t xml:space="preserve">(5) </w:t>
      </w:r>
      <w:r w:rsidR="00816939">
        <w:rPr>
          <w:color w:val="000000"/>
        </w:rPr>
        <w:t>Yönetmelik</w:t>
      </w:r>
      <w:r w:rsidR="00FA7DC2">
        <w:rPr>
          <w:color w:val="000000"/>
        </w:rPr>
        <w:t>te</w:t>
      </w:r>
      <w:r w:rsidR="00816939">
        <w:rPr>
          <w:color w:val="000000"/>
        </w:rPr>
        <w:t xml:space="preserve"> ve bu </w:t>
      </w:r>
      <w:r w:rsidR="00A65DC5">
        <w:rPr>
          <w:color w:val="000000"/>
        </w:rPr>
        <w:t>K</w:t>
      </w:r>
      <w:r w:rsidR="00816939">
        <w:rPr>
          <w:color w:val="000000"/>
        </w:rPr>
        <w:t xml:space="preserve">ılavuzda </w:t>
      </w:r>
      <w:r w:rsidR="00C96FED">
        <w:rPr>
          <w:color w:val="000000"/>
        </w:rPr>
        <w:t xml:space="preserve">yer verilen hükümlere uygun olması </w:t>
      </w:r>
      <w:r w:rsidR="00816939">
        <w:rPr>
          <w:color w:val="000000"/>
        </w:rPr>
        <w:t xml:space="preserve">koşuluyla </w:t>
      </w:r>
      <w:r w:rsidR="00C96FED" w:rsidRPr="00D60187">
        <w:rPr>
          <w:color w:val="000000"/>
        </w:rPr>
        <w:t>satıcı, sağlayıcı ve aracı hizmet sağlayıcı</w:t>
      </w:r>
      <w:r w:rsidR="00C96FED">
        <w:rPr>
          <w:color w:val="000000"/>
        </w:rPr>
        <w:t>lar aşağıda belirtilen</w:t>
      </w:r>
      <w:r w:rsidR="00A74338">
        <w:rPr>
          <w:color w:val="000000"/>
        </w:rPr>
        <w:t xml:space="preserve"> durum</w:t>
      </w:r>
      <w:r w:rsidR="00C96FED">
        <w:rPr>
          <w:color w:val="000000"/>
        </w:rPr>
        <w:t>larda</w:t>
      </w:r>
      <w:r w:rsidR="00A74338">
        <w:rPr>
          <w:color w:val="000000"/>
        </w:rPr>
        <w:t xml:space="preserve"> da tüketici değerlendirmelerin</w:t>
      </w:r>
      <w:r w:rsidR="00EB2EBC">
        <w:rPr>
          <w:color w:val="000000"/>
        </w:rPr>
        <w:t>in</w:t>
      </w:r>
      <w:r w:rsidR="00A74338">
        <w:rPr>
          <w:color w:val="000000"/>
        </w:rPr>
        <w:t xml:space="preserve"> yayınla</w:t>
      </w:r>
      <w:r w:rsidR="00EB2EBC">
        <w:rPr>
          <w:color w:val="000000"/>
        </w:rPr>
        <w:t xml:space="preserve">masına </w:t>
      </w:r>
      <w:r w:rsidR="006C6395">
        <w:rPr>
          <w:color w:val="000000"/>
        </w:rPr>
        <w:t>imkân</w:t>
      </w:r>
      <w:r w:rsidR="00EB2EBC">
        <w:rPr>
          <w:color w:val="000000"/>
        </w:rPr>
        <w:t xml:space="preserve"> sağlayabilir</w:t>
      </w:r>
      <w:r w:rsidR="00A74338">
        <w:rPr>
          <w:color w:val="000000"/>
        </w:rPr>
        <w:t>:</w:t>
      </w:r>
    </w:p>
    <w:p w14:paraId="1E451F23" w14:textId="77777777" w:rsidR="00A74338" w:rsidRDefault="00A74338" w:rsidP="002D282F">
      <w:pPr>
        <w:ind w:firstLine="709"/>
        <w:jc w:val="both"/>
        <w:rPr>
          <w:color w:val="000000"/>
        </w:rPr>
      </w:pPr>
      <w:r>
        <w:rPr>
          <w:color w:val="000000"/>
        </w:rPr>
        <w:t>a) “</w:t>
      </w:r>
      <w:r w:rsidR="003C50A6">
        <w:rPr>
          <w:color w:val="000000"/>
        </w:rPr>
        <w:t>B</w:t>
      </w:r>
      <w:r>
        <w:rPr>
          <w:color w:val="000000"/>
        </w:rPr>
        <w:t xml:space="preserve">” isimli satıcı ya da sağlayıcının fiziki mağazasından satın alınan bir mal veya hizmete ilişkin </w:t>
      </w:r>
      <w:r w:rsidR="00A6472D">
        <w:rPr>
          <w:color w:val="000000"/>
        </w:rPr>
        <w:t xml:space="preserve">tüketici değerlendirmelerinin </w:t>
      </w:r>
      <w:r>
        <w:rPr>
          <w:color w:val="000000"/>
        </w:rPr>
        <w:t>“</w:t>
      </w:r>
      <w:r w:rsidR="003C50A6">
        <w:rPr>
          <w:color w:val="000000"/>
        </w:rPr>
        <w:t>B</w:t>
      </w:r>
      <w:r>
        <w:rPr>
          <w:color w:val="000000"/>
        </w:rPr>
        <w:t>” satıcı</w:t>
      </w:r>
      <w:r w:rsidR="00BC5031">
        <w:rPr>
          <w:color w:val="000000"/>
        </w:rPr>
        <w:t>sı</w:t>
      </w:r>
      <w:r>
        <w:rPr>
          <w:color w:val="000000"/>
        </w:rPr>
        <w:t xml:space="preserve"> ya da sağlayıcısına ait</w:t>
      </w:r>
      <w:r w:rsidR="00EB2EBC">
        <w:rPr>
          <w:color w:val="000000"/>
        </w:rPr>
        <w:t xml:space="preserve"> internet sitesi ya da</w:t>
      </w:r>
      <w:r>
        <w:rPr>
          <w:color w:val="000000"/>
        </w:rPr>
        <w:t xml:space="preserve"> </w:t>
      </w:r>
      <w:r w:rsidR="004D45CD">
        <w:rPr>
          <w:color w:val="000000"/>
        </w:rPr>
        <w:t>platformda</w:t>
      </w:r>
      <w:r>
        <w:rPr>
          <w:color w:val="000000"/>
        </w:rPr>
        <w:t xml:space="preserve"> paylaşılması.</w:t>
      </w:r>
    </w:p>
    <w:p w14:paraId="5CC843CD" w14:textId="77777777" w:rsidR="00A74338" w:rsidRDefault="00A74338" w:rsidP="002D282F">
      <w:pPr>
        <w:ind w:firstLine="709"/>
        <w:jc w:val="both"/>
        <w:rPr>
          <w:color w:val="000000"/>
        </w:rPr>
      </w:pPr>
      <w:r>
        <w:rPr>
          <w:color w:val="000000"/>
        </w:rPr>
        <w:t xml:space="preserve">b) </w:t>
      </w:r>
      <w:r w:rsidR="00EE39C5">
        <w:rPr>
          <w:color w:val="000000"/>
        </w:rPr>
        <w:t xml:space="preserve">Taraflar arasında gerçekleştirilen anlaşmaya dayalı olarak </w:t>
      </w:r>
      <w:r>
        <w:rPr>
          <w:color w:val="000000"/>
        </w:rPr>
        <w:t>“</w:t>
      </w:r>
      <w:r w:rsidR="003C50A6">
        <w:rPr>
          <w:color w:val="000000"/>
        </w:rPr>
        <w:t>B</w:t>
      </w:r>
      <w:r>
        <w:rPr>
          <w:color w:val="000000"/>
        </w:rPr>
        <w:t xml:space="preserve">” isimli satıcı ya da sağlayıcının fiziki mağazası veya </w:t>
      </w:r>
      <w:r w:rsidR="0087421E">
        <w:rPr>
          <w:color w:val="000000"/>
        </w:rPr>
        <w:t>internet</w:t>
      </w:r>
      <w:r w:rsidR="004D45CD">
        <w:rPr>
          <w:color w:val="000000"/>
        </w:rPr>
        <w:t xml:space="preserve"> </w:t>
      </w:r>
      <w:r>
        <w:rPr>
          <w:color w:val="000000"/>
        </w:rPr>
        <w:t>sitesinden satın al</w:t>
      </w:r>
      <w:r w:rsidR="00BC5031">
        <w:rPr>
          <w:color w:val="000000"/>
        </w:rPr>
        <w:t>ın</w:t>
      </w:r>
      <w:r>
        <w:rPr>
          <w:color w:val="000000"/>
        </w:rPr>
        <w:t>an</w:t>
      </w:r>
      <w:r w:rsidR="00BC5031">
        <w:rPr>
          <w:color w:val="000000"/>
        </w:rPr>
        <w:t xml:space="preserve"> bir mal ya da hizmete ilişkin</w:t>
      </w:r>
      <w:r>
        <w:rPr>
          <w:color w:val="000000"/>
        </w:rPr>
        <w:t xml:space="preserve"> tüketici</w:t>
      </w:r>
      <w:r w:rsidR="00BC5031">
        <w:rPr>
          <w:color w:val="000000"/>
        </w:rPr>
        <w:t xml:space="preserve"> değerlendirmelerinin</w:t>
      </w:r>
      <w:r w:rsidR="009360C5">
        <w:rPr>
          <w:color w:val="000000"/>
        </w:rPr>
        <w:t>,</w:t>
      </w:r>
      <w:r w:rsidR="00E535A3">
        <w:rPr>
          <w:color w:val="000000"/>
        </w:rPr>
        <w:t xml:space="preserve"> “</w:t>
      </w:r>
      <w:r w:rsidR="003C50A6">
        <w:rPr>
          <w:color w:val="000000"/>
        </w:rPr>
        <w:t>B</w:t>
      </w:r>
      <w:r w:rsidR="00E535A3">
        <w:rPr>
          <w:color w:val="000000"/>
        </w:rPr>
        <w:t xml:space="preserve">” isimli satıcının </w:t>
      </w:r>
      <w:r>
        <w:rPr>
          <w:color w:val="000000"/>
        </w:rPr>
        <w:t>“</w:t>
      </w:r>
      <w:r w:rsidR="003C50A6">
        <w:rPr>
          <w:color w:val="000000"/>
        </w:rPr>
        <w:t>A</w:t>
      </w:r>
      <w:r>
        <w:rPr>
          <w:color w:val="000000"/>
        </w:rPr>
        <w:t xml:space="preserve">” isimli aracı hizmet sağlayıcıya ait </w:t>
      </w:r>
      <w:r w:rsidR="004D45CD">
        <w:rPr>
          <w:color w:val="000000"/>
        </w:rPr>
        <w:t>platformda</w:t>
      </w:r>
      <w:r w:rsidR="00A6472D">
        <w:rPr>
          <w:color w:val="000000"/>
        </w:rPr>
        <w:t xml:space="preserve"> </w:t>
      </w:r>
      <w:r w:rsidR="00E535A3">
        <w:rPr>
          <w:color w:val="000000"/>
        </w:rPr>
        <w:t>bulunan</w:t>
      </w:r>
      <w:r w:rsidR="00A6472D">
        <w:rPr>
          <w:color w:val="000000"/>
        </w:rPr>
        <w:t xml:space="preserve"> mağaza</w:t>
      </w:r>
      <w:r w:rsidR="009360C5">
        <w:rPr>
          <w:color w:val="000000"/>
        </w:rPr>
        <w:t>sın</w:t>
      </w:r>
      <w:r w:rsidR="00A6472D">
        <w:rPr>
          <w:color w:val="000000"/>
        </w:rPr>
        <w:t xml:space="preserve">da </w:t>
      </w:r>
      <w:r w:rsidR="001957DF">
        <w:rPr>
          <w:color w:val="000000"/>
        </w:rPr>
        <w:t xml:space="preserve">veya </w:t>
      </w:r>
      <w:r w:rsidR="009360C5">
        <w:rPr>
          <w:color w:val="000000"/>
        </w:rPr>
        <w:t>satın alınan</w:t>
      </w:r>
      <w:r w:rsidR="001957DF">
        <w:rPr>
          <w:color w:val="000000"/>
        </w:rPr>
        <w:t xml:space="preserve"> mala ilişkin değerlendirmeler altında </w:t>
      </w:r>
      <w:r w:rsidR="00A6472D">
        <w:rPr>
          <w:color w:val="000000"/>
        </w:rPr>
        <w:t>paylaşılması.</w:t>
      </w:r>
    </w:p>
    <w:p w14:paraId="09DDF142" w14:textId="77777777" w:rsidR="00A6472D" w:rsidRDefault="00A6472D" w:rsidP="002D282F">
      <w:pPr>
        <w:ind w:firstLine="709"/>
        <w:jc w:val="both"/>
        <w:rPr>
          <w:color w:val="000000"/>
        </w:rPr>
      </w:pPr>
      <w:r>
        <w:rPr>
          <w:color w:val="000000"/>
        </w:rPr>
        <w:t>c) Tüketicilerin bir mal veya hizmeti satın alarak deneyimlerini paylaş</w:t>
      </w:r>
      <w:r w:rsidR="009360C5">
        <w:rPr>
          <w:color w:val="000000"/>
        </w:rPr>
        <w:t>tığı</w:t>
      </w:r>
      <w:r>
        <w:rPr>
          <w:color w:val="000000"/>
        </w:rPr>
        <w:t xml:space="preserve"> “</w:t>
      </w:r>
      <w:r w:rsidR="003C50A6">
        <w:rPr>
          <w:color w:val="000000"/>
        </w:rPr>
        <w:t>X</w:t>
      </w:r>
      <w:r>
        <w:rPr>
          <w:color w:val="000000"/>
        </w:rPr>
        <w:t xml:space="preserve">” isimli internet sitesinde yayınlanan </w:t>
      </w:r>
      <w:r w:rsidR="009360C5">
        <w:rPr>
          <w:color w:val="000000"/>
        </w:rPr>
        <w:t xml:space="preserve">bir </w:t>
      </w:r>
      <w:r>
        <w:rPr>
          <w:color w:val="000000"/>
        </w:rPr>
        <w:t>tüketici değerlendirmesinin “</w:t>
      </w:r>
      <w:r w:rsidR="003C50A6">
        <w:rPr>
          <w:color w:val="000000"/>
        </w:rPr>
        <w:t>A</w:t>
      </w:r>
      <w:r>
        <w:rPr>
          <w:color w:val="000000"/>
        </w:rPr>
        <w:t xml:space="preserve">” isimli aracı hizmet sağlayıcıya </w:t>
      </w:r>
      <w:r w:rsidR="004B5918">
        <w:rPr>
          <w:color w:val="000000"/>
        </w:rPr>
        <w:t xml:space="preserve">ait platformda </w:t>
      </w:r>
      <w:r w:rsidR="00983B4E" w:rsidRPr="006C6395">
        <w:rPr>
          <w:color w:val="000000"/>
        </w:rPr>
        <w:t>ya da</w:t>
      </w:r>
      <w:r w:rsidR="004B5918" w:rsidRPr="006C6395">
        <w:rPr>
          <w:color w:val="000000"/>
        </w:rPr>
        <w:t xml:space="preserve"> “B” isimli</w:t>
      </w:r>
      <w:r w:rsidR="00983B4E" w:rsidRPr="006C6395">
        <w:rPr>
          <w:color w:val="000000"/>
        </w:rPr>
        <w:t xml:space="preserve"> satıcıya</w:t>
      </w:r>
      <w:r w:rsidR="004B5918" w:rsidRPr="006C6395">
        <w:rPr>
          <w:color w:val="000000"/>
        </w:rPr>
        <w:t xml:space="preserve"> ait internet sitesinde</w:t>
      </w:r>
      <w:r w:rsidR="00983B4E" w:rsidRPr="00983B4E">
        <w:rPr>
          <w:color w:val="FF0000"/>
        </w:rPr>
        <w:t xml:space="preserve"> </w:t>
      </w:r>
      <w:r w:rsidR="003E58A7">
        <w:rPr>
          <w:color w:val="000000"/>
        </w:rPr>
        <w:t xml:space="preserve">o </w:t>
      </w:r>
      <w:r>
        <w:rPr>
          <w:color w:val="000000"/>
        </w:rPr>
        <w:t xml:space="preserve">mal veya hizmetin satışa sunulduğu </w:t>
      </w:r>
      <w:r w:rsidR="003E58A7">
        <w:rPr>
          <w:color w:val="000000"/>
        </w:rPr>
        <w:t>alanda doğrudan</w:t>
      </w:r>
      <w:r w:rsidR="009360C5">
        <w:rPr>
          <w:color w:val="000000"/>
        </w:rPr>
        <w:t xml:space="preserve"> “</w:t>
      </w:r>
      <w:r w:rsidR="003C50A6" w:rsidRPr="00D76EE3">
        <w:rPr>
          <w:i/>
          <w:iCs/>
          <w:color w:val="000000"/>
        </w:rPr>
        <w:t>X</w:t>
      </w:r>
      <w:r w:rsidR="009360C5" w:rsidRPr="00D76EE3">
        <w:rPr>
          <w:i/>
          <w:iCs/>
          <w:color w:val="000000"/>
        </w:rPr>
        <w:t xml:space="preserve"> </w:t>
      </w:r>
      <w:r w:rsidR="009360C5" w:rsidRPr="009360C5">
        <w:rPr>
          <w:i/>
          <w:iCs/>
          <w:color w:val="000000"/>
        </w:rPr>
        <w:t>isimli internet sitesinden”</w:t>
      </w:r>
      <w:r w:rsidR="009360C5">
        <w:rPr>
          <w:color w:val="000000"/>
        </w:rPr>
        <w:t xml:space="preserve"> v</w:t>
      </w:r>
      <w:r w:rsidR="0087421E">
        <w:rPr>
          <w:color w:val="000000"/>
        </w:rPr>
        <w:t xml:space="preserve">e </w:t>
      </w:r>
      <w:r w:rsidR="009360C5">
        <w:rPr>
          <w:color w:val="000000"/>
        </w:rPr>
        <w:t>b</w:t>
      </w:r>
      <w:r w:rsidR="0087421E">
        <w:rPr>
          <w:color w:val="000000"/>
        </w:rPr>
        <w:t>enzeri</w:t>
      </w:r>
      <w:r w:rsidR="009360C5">
        <w:rPr>
          <w:color w:val="000000"/>
        </w:rPr>
        <w:t xml:space="preserve"> şekilde belirtilerek</w:t>
      </w:r>
      <w:r w:rsidR="003E58A7">
        <w:rPr>
          <w:color w:val="000000"/>
        </w:rPr>
        <w:t xml:space="preserve"> veya bir bağlantı ile paylaşılması.</w:t>
      </w:r>
    </w:p>
    <w:p w14:paraId="227D2607" w14:textId="77777777" w:rsidR="0098322C" w:rsidRDefault="003E58A7" w:rsidP="00043C87">
      <w:pPr>
        <w:ind w:firstLine="709"/>
        <w:jc w:val="both"/>
        <w:rPr>
          <w:color w:val="000000"/>
        </w:rPr>
      </w:pPr>
      <w:proofErr w:type="gramStart"/>
      <w:r>
        <w:rPr>
          <w:color w:val="000000"/>
        </w:rPr>
        <w:t>ç</w:t>
      </w:r>
      <w:proofErr w:type="gramEnd"/>
      <w:r>
        <w:rPr>
          <w:color w:val="000000"/>
        </w:rPr>
        <w:t>)</w:t>
      </w:r>
      <w:r w:rsidR="00115B32">
        <w:rPr>
          <w:color w:val="000000"/>
        </w:rPr>
        <w:t xml:space="preserve"> </w:t>
      </w:r>
      <w:r w:rsidR="00043C87">
        <w:rPr>
          <w:color w:val="000000"/>
        </w:rPr>
        <w:t>Taraflar arasında gerçekleştirilen anlaşmaya dayalı olarak</w:t>
      </w:r>
      <w:r w:rsidR="00036ECA">
        <w:rPr>
          <w:color w:val="000000"/>
        </w:rPr>
        <w:t>,</w:t>
      </w:r>
      <w:r w:rsidR="00043C87">
        <w:rPr>
          <w:color w:val="000000"/>
        </w:rPr>
        <w:t xml:space="preserve"> bir aracı hizmet sağlayıcıya ait </w:t>
      </w:r>
      <w:r w:rsidR="004D45CD">
        <w:rPr>
          <w:color w:val="000000"/>
        </w:rPr>
        <w:t>platformda</w:t>
      </w:r>
      <w:r w:rsidR="00043C87">
        <w:rPr>
          <w:color w:val="000000"/>
        </w:rPr>
        <w:t xml:space="preserve"> yayınlanan tüketici değerlendirmelerinin başka bir aracı hizmet sağlayıcıya ait </w:t>
      </w:r>
      <w:r w:rsidR="004D45CD">
        <w:rPr>
          <w:color w:val="000000"/>
        </w:rPr>
        <w:t>platformda</w:t>
      </w:r>
      <w:r w:rsidR="00036ECA">
        <w:rPr>
          <w:color w:val="000000"/>
        </w:rPr>
        <w:t>;</w:t>
      </w:r>
      <w:r w:rsidR="00043C87">
        <w:rPr>
          <w:color w:val="000000"/>
        </w:rPr>
        <w:t xml:space="preserve"> </w:t>
      </w:r>
      <w:r w:rsidR="00036ECA" w:rsidRPr="006C6395">
        <w:rPr>
          <w:color w:val="000000"/>
        </w:rPr>
        <w:t xml:space="preserve">bir satıcı ya da sağlayıcıya ait internet sitesinde yayınlanan tüketici değerlendirmelerinin başka bir satıcı ya da sağlayıcıya ait internet sitesinde </w:t>
      </w:r>
      <w:r w:rsidR="00043C87">
        <w:rPr>
          <w:color w:val="000000"/>
        </w:rPr>
        <w:t>paylaşılması.</w:t>
      </w:r>
    </w:p>
    <w:p w14:paraId="3628A519" w14:textId="77777777" w:rsidR="00407569" w:rsidRDefault="00923BF7" w:rsidP="00E062E9">
      <w:pPr>
        <w:ind w:firstLine="709"/>
        <w:jc w:val="both"/>
        <w:rPr>
          <w:color w:val="000000"/>
        </w:rPr>
      </w:pPr>
      <w:r w:rsidRPr="002D282F">
        <w:rPr>
          <w:color w:val="000000"/>
        </w:rPr>
        <w:t>(</w:t>
      </w:r>
      <w:r w:rsidR="00DA4C32">
        <w:rPr>
          <w:color w:val="000000"/>
        </w:rPr>
        <w:t>6</w:t>
      </w:r>
      <w:r w:rsidRPr="002D282F">
        <w:rPr>
          <w:color w:val="000000"/>
        </w:rPr>
        <w:t xml:space="preserve">) Tüketici değerlendirmeleri, gerekli incelemeler yapıldıktan sonra olumlu ya da olumsuz ayrımı yapılmaksızın en az bir yıl süre ile herhangi bir yönlendirme yapılmadan tarih, değerlendirme notu, satıcı veya sağlayıcıya göre sıralanma gibi objektif bir ölçüte göre yayınlanır. </w:t>
      </w:r>
    </w:p>
    <w:p w14:paraId="50527FA8" w14:textId="77777777" w:rsidR="005D615F" w:rsidRPr="006C6395" w:rsidRDefault="00587F82" w:rsidP="005D615F">
      <w:pPr>
        <w:ind w:firstLine="709"/>
        <w:jc w:val="both"/>
      </w:pPr>
      <w:r w:rsidRPr="006C6395">
        <w:t>(7)</w:t>
      </w:r>
      <w:r w:rsidR="00091672" w:rsidRPr="006C6395">
        <w:t xml:space="preserve"> </w:t>
      </w:r>
      <w:r w:rsidR="00923BF7" w:rsidRPr="006C6395">
        <w:t>İlgili mevzuatına aykırı sağlık beyanı içeren tüketici değerlendirmeleri yayınlanamaz.</w:t>
      </w:r>
      <w:r w:rsidR="003B23A3" w:rsidRPr="006C6395">
        <w:t xml:space="preserve"> </w:t>
      </w:r>
      <w:r w:rsidR="00BC5680" w:rsidRPr="006C6395">
        <w:t>Bu kapsamda</w:t>
      </w:r>
      <w:r w:rsidR="0098643E" w:rsidRPr="006C6395">
        <w:t xml:space="preserve">, </w:t>
      </w:r>
      <w:r w:rsidR="00DA4C32" w:rsidRPr="006C6395">
        <w:t xml:space="preserve">satışa sunulan </w:t>
      </w:r>
      <w:r w:rsidR="005D615F" w:rsidRPr="006C6395">
        <w:t xml:space="preserve">bir mal veya hizmete ilişkin sağlık beyanları kullanımına izin verilmemelidir. </w:t>
      </w:r>
    </w:p>
    <w:p w14:paraId="07F82621" w14:textId="77777777" w:rsidR="00DA4C32" w:rsidRDefault="0098643E" w:rsidP="006C0DA3">
      <w:pPr>
        <w:ind w:firstLine="709"/>
        <w:jc w:val="both"/>
        <w:rPr>
          <w:color w:val="000000"/>
        </w:rPr>
      </w:pPr>
      <w:r w:rsidRPr="00B67419">
        <w:rPr>
          <w:color w:val="000000"/>
        </w:rPr>
        <w:t xml:space="preserve">Örneğin, </w:t>
      </w:r>
      <w:r w:rsidRPr="0098643E">
        <w:rPr>
          <w:color w:val="000000"/>
        </w:rPr>
        <w:t xml:space="preserve">satışa sunulan kozalak macunu ürününe ilişkin </w:t>
      </w:r>
      <w:r w:rsidRPr="0098643E">
        <w:rPr>
          <w:i/>
          <w:iCs/>
          <w:color w:val="000000"/>
        </w:rPr>
        <w:t>“Öksürüğüme iyi geldi, astım ve bronşite karşı faydalı”</w:t>
      </w:r>
      <w:r w:rsidRPr="0098643E">
        <w:rPr>
          <w:color w:val="000000"/>
        </w:rPr>
        <w:t xml:space="preserve"> şeklinde </w:t>
      </w:r>
      <w:r>
        <w:rPr>
          <w:color w:val="000000"/>
        </w:rPr>
        <w:t xml:space="preserve">yapılan </w:t>
      </w:r>
      <w:r w:rsidR="00BC5680">
        <w:rPr>
          <w:color w:val="000000"/>
        </w:rPr>
        <w:t>değerlendirmeler</w:t>
      </w:r>
      <w:r w:rsidRPr="0098643E">
        <w:rPr>
          <w:color w:val="000000"/>
        </w:rPr>
        <w:t xml:space="preserve"> yayınlanmamalıdır.</w:t>
      </w:r>
    </w:p>
    <w:p w14:paraId="55DB6826" w14:textId="77777777" w:rsidR="00923BF7" w:rsidRDefault="00E76C88" w:rsidP="002D282F">
      <w:pPr>
        <w:ind w:firstLine="709"/>
        <w:jc w:val="both"/>
        <w:rPr>
          <w:color w:val="000000"/>
        </w:rPr>
      </w:pPr>
      <w:r>
        <w:rPr>
          <w:color w:val="000000"/>
        </w:rPr>
        <w:t>(</w:t>
      </w:r>
      <w:r w:rsidR="00587F82">
        <w:rPr>
          <w:color w:val="000000"/>
        </w:rPr>
        <w:t>8</w:t>
      </w:r>
      <w:r w:rsidR="00923BF7" w:rsidRPr="002D282F">
        <w:rPr>
          <w:color w:val="000000"/>
        </w:rPr>
        <w:t>) Değerlendirme yapılan mal veya hizmet ile ilgili yaşanan tüketici mağduriyetinin satıcı veya sağlayıcı tarafından giderildiğinin tüketici ya da satıcı veya sağlayıcı tarafından bildirilmesi halinde bu durum, gerekli doğrulama yapıldıktan sonra ilk değerlendirmeyle aynı yerde gecikmesizin yayınlanır.</w:t>
      </w:r>
      <w:r w:rsidR="00091672">
        <w:rPr>
          <w:color w:val="000000"/>
        </w:rPr>
        <w:t xml:space="preserve"> </w:t>
      </w:r>
    </w:p>
    <w:p w14:paraId="5D37616E" w14:textId="77777777" w:rsidR="00923BF7" w:rsidRDefault="00E76C88" w:rsidP="003A35B2">
      <w:pPr>
        <w:ind w:firstLine="709"/>
        <w:jc w:val="both"/>
        <w:rPr>
          <w:color w:val="000000"/>
        </w:rPr>
      </w:pPr>
      <w:r w:rsidRPr="00D92D67">
        <w:rPr>
          <w:color w:val="000000"/>
        </w:rPr>
        <w:t>(</w:t>
      </w:r>
      <w:r w:rsidR="00587F82">
        <w:rPr>
          <w:color w:val="000000"/>
        </w:rPr>
        <w:t>9</w:t>
      </w:r>
      <w:r w:rsidR="00923BF7" w:rsidRPr="00D92D67">
        <w:rPr>
          <w:color w:val="000000"/>
        </w:rPr>
        <w:t xml:space="preserve">) </w:t>
      </w:r>
      <w:r w:rsidR="00502235" w:rsidRPr="00502235">
        <w:rPr>
          <w:color w:val="000000"/>
        </w:rPr>
        <w:t>Bir</w:t>
      </w:r>
      <w:r w:rsidR="003A35B2" w:rsidRPr="00502235">
        <w:rPr>
          <w:color w:val="000000"/>
        </w:rPr>
        <w:t xml:space="preserve"> mal veya hizmete ya da satıcı, sağlayıcı veya aracı hizmet sağlayıcıya olan talebi artırmak </w:t>
      </w:r>
      <w:r w:rsidR="00502235" w:rsidRPr="00502235">
        <w:rPr>
          <w:color w:val="000000"/>
        </w:rPr>
        <w:t xml:space="preserve">veya olumsuz etki oluşturmak amacıyla </w:t>
      </w:r>
      <w:r w:rsidR="003A35B2" w:rsidRPr="00502235">
        <w:rPr>
          <w:color w:val="000000"/>
        </w:rPr>
        <w:t xml:space="preserve">gerçeği yansıtmayan değerlendirme yapılmasına veya onay belirten ifade ve simgelemelerin kullanılmasına ilişkin üçüncü kişilerden hizmet alımına yönelik anlaşma </w:t>
      </w:r>
      <w:r w:rsidR="00DE2E6B">
        <w:rPr>
          <w:color w:val="000000"/>
        </w:rPr>
        <w:t>ya</w:t>
      </w:r>
      <w:r w:rsidR="005A3D34">
        <w:rPr>
          <w:color w:val="000000"/>
        </w:rPr>
        <w:t xml:space="preserve"> da</w:t>
      </w:r>
      <w:r w:rsidR="00DE2E6B">
        <w:rPr>
          <w:color w:val="000000"/>
        </w:rPr>
        <w:t xml:space="preserve"> </w:t>
      </w:r>
      <w:r w:rsidR="00E062E9">
        <w:rPr>
          <w:color w:val="000000"/>
        </w:rPr>
        <w:t>iş birliği</w:t>
      </w:r>
      <w:r w:rsidR="00DE2E6B">
        <w:rPr>
          <w:color w:val="000000"/>
        </w:rPr>
        <w:t xml:space="preserve"> </w:t>
      </w:r>
      <w:r w:rsidR="003A35B2" w:rsidRPr="00502235">
        <w:rPr>
          <w:color w:val="000000"/>
        </w:rPr>
        <w:t>yapılamaz</w:t>
      </w:r>
      <w:r w:rsidR="007A4FA6" w:rsidRPr="00502235">
        <w:rPr>
          <w:color w:val="000000"/>
        </w:rPr>
        <w:t xml:space="preserve">. </w:t>
      </w:r>
    </w:p>
    <w:p w14:paraId="30A19AD2" w14:textId="77777777" w:rsidR="00091672" w:rsidRDefault="008A69BA" w:rsidP="008A69BA">
      <w:pPr>
        <w:ind w:firstLine="709"/>
        <w:jc w:val="both"/>
        <w:rPr>
          <w:color w:val="000000"/>
        </w:rPr>
      </w:pPr>
      <w:r>
        <w:rPr>
          <w:color w:val="000000"/>
        </w:rPr>
        <w:t xml:space="preserve">(10) </w:t>
      </w:r>
      <w:r w:rsidR="00091672">
        <w:rPr>
          <w:color w:val="000000"/>
        </w:rPr>
        <w:t>B</w:t>
      </w:r>
      <w:r w:rsidRPr="008A69BA">
        <w:rPr>
          <w:color w:val="000000"/>
        </w:rPr>
        <w:t xml:space="preserve">ir mal veya hizmete ya da </w:t>
      </w:r>
      <w:r>
        <w:rPr>
          <w:color w:val="000000"/>
        </w:rPr>
        <w:t>s</w:t>
      </w:r>
      <w:r w:rsidRPr="008A69BA">
        <w:rPr>
          <w:color w:val="000000"/>
        </w:rPr>
        <w:t>atıcı</w:t>
      </w:r>
      <w:r>
        <w:rPr>
          <w:color w:val="000000"/>
        </w:rPr>
        <w:t xml:space="preserve">, </w:t>
      </w:r>
      <w:r w:rsidRPr="008A69BA">
        <w:rPr>
          <w:color w:val="000000"/>
        </w:rPr>
        <w:t>sağlayıcı</w:t>
      </w:r>
      <w:r>
        <w:rPr>
          <w:color w:val="000000"/>
        </w:rPr>
        <w:t xml:space="preserve"> veya</w:t>
      </w:r>
      <w:r w:rsidRPr="008A69BA">
        <w:rPr>
          <w:color w:val="000000"/>
        </w:rPr>
        <w:t xml:space="preserve"> aracı hizmet sağlayıcılar</w:t>
      </w:r>
      <w:r>
        <w:rPr>
          <w:color w:val="000000"/>
        </w:rPr>
        <w:t xml:space="preserve"> hakkında yapılan </w:t>
      </w:r>
      <w:r w:rsidR="00091672">
        <w:rPr>
          <w:color w:val="000000"/>
        </w:rPr>
        <w:t xml:space="preserve">tüketici </w:t>
      </w:r>
      <w:r w:rsidRPr="008A69BA">
        <w:rPr>
          <w:color w:val="000000"/>
        </w:rPr>
        <w:t>değerlendirme</w:t>
      </w:r>
      <w:r>
        <w:rPr>
          <w:color w:val="000000"/>
        </w:rPr>
        <w:t>lerin</w:t>
      </w:r>
      <w:r w:rsidR="00091672">
        <w:rPr>
          <w:color w:val="000000"/>
        </w:rPr>
        <w:t>in</w:t>
      </w:r>
      <w:r>
        <w:rPr>
          <w:color w:val="000000"/>
        </w:rPr>
        <w:t xml:space="preserve"> internet ortamından farklı mecra</w:t>
      </w:r>
      <w:r w:rsidR="00091672">
        <w:rPr>
          <w:color w:val="000000"/>
        </w:rPr>
        <w:t>lar</w:t>
      </w:r>
      <w:r>
        <w:rPr>
          <w:color w:val="000000"/>
        </w:rPr>
        <w:t>da yayı</w:t>
      </w:r>
      <w:r w:rsidR="00091672">
        <w:rPr>
          <w:color w:val="000000"/>
        </w:rPr>
        <w:t>n</w:t>
      </w:r>
      <w:r>
        <w:rPr>
          <w:color w:val="000000"/>
        </w:rPr>
        <w:t xml:space="preserve">lanması halinde </w:t>
      </w:r>
      <w:r w:rsidR="00091672">
        <w:rPr>
          <w:color w:val="000000"/>
        </w:rPr>
        <w:t xml:space="preserve">bu tanıtım </w:t>
      </w:r>
      <w:r>
        <w:rPr>
          <w:color w:val="000000"/>
        </w:rPr>
        <w:t>Yönetmeliğin diğer hükümleri</w:t>
      </w:r>
      <w:r w:rsidR="00A32B2E">
        <w:rPr>
          <w:color w:val="000000"/>
        </w:rPr>
        <w:t>ne uygun</w:t>
      </w:r>
      <w:r w:rsidR="006C6395">
        <w:rPr>
          <w:color w:val="000000"/>
        </w:rPr>
        <w:t xml:space="preserve"> olmalıdır</w:t>
      </w:r>
      <w:r>
        <w:rPr>
          <w:color w:val="000000"/>
        </w:rPr>
        <w:t>.</w:t>
      </w:r>
      <w:r w:rsidR="00A32B2E">
        <w:rPr>
          <w:color w:val="000000"/>
        </w:rPr>
        <w:t xml:space="preserve"> </w:t>
      </w:r>
    </w:p>
    <w:p w14:paraId="42BD264F" w14:textId="77777777" w:rsidR="008A69BA" w:rsidRPr="002D282F" w:rsidRDefault="00A32B2E" w:rsidP="008A69BA">
      <w:pPr>
        <w:ind w:firstLine="709"/>
        <w:jc w:val="both"/>
        <w:rPr>
          <w:color w:val="000000"/>
        </w:rPr>
      </w:pPr>
      <w:r>
        <w:rPr>
          <w:color w:val="000000"/>
        </w:rPr>
        <w:t>Örneğin, televizyon mecrasında yayı</w:t>
      </w:r>
      <w:r w:rsidR="00091672">
        <w:rPr>
          <w:color w:val="000000"/>
        </w:rPr>
        <w:t>n</w:t>
      </w:r>
      <w:r>
        <w:rPr>
          <w:color w:val="000000"/>
        </w:rPr>
        <w:t xml:space="preserve">lanan bir reklamda yer verilen tüketici değerlendirmesinin Yönetmeliğin 28/B maddesi ve </w:t>
      </w:r>
      <w:r w:rsidR="00091672">
        <w:rPr>
          <w:color w:val="000000"/>
        </w:rPr>
        <w:t>K</w:t>
      </w:r>
      <w:r>
        <w:rPr>
          <w:color w:val="000000"/>
        </w:rPr>
        <w:t>ılavuz hükümleri yerine Ticari Reklam ve Haksız Ticari Uygulamalar Yönetmeliğinin diğer hükümlerine uygunluğu inceleme konusu olabilir.</w:t>
      </w:r>
    </w:p>
    <w:p w14:paraId="6D736B21" w14:textId="77777777" w:rsidR="00247295" w:rsidRDefault="00247295" w:rsidP="002D282F">
      <w:pPr>
        <w:pStyle w:val="ListeParagraf"/>
        <w:tabs>
          <w:tab w:val="left" w:pos="851"/>
          <w:tab w:val="left" w:pos="993"/>
        </w:tabs>
        <w:ind w:left="0" w:firstLine="709"/>
        <w:jc w:val="both"/>
        <w:rPr>
          <w:rFonts w:ascii="Times New Roman" w:hAnsi="Times New Roman" w:cs="Times New Roman"/>
          <w:b/>
        </w:rPr>
      </w:pPr>
    </w:p>
    <w:p w14:paraId="7FE1C74C" w14:textId="77777777" w:rsidR="00036ECA" w:rsidRDefault="00036ECA" w:rsidP="002D282F">
      <w:pPr>
        <w:pStyle w:val="ListeParagraf"/>
        <w:tabs>
          <w:tab w:val="left" w:pos="851"/>
          <w:tab w:val="left" w:pos="993"/>
        </w:tabs>
        <w:ind w:left="0" w:firstLine="709"/>
        <w:jc w:val="both"/>
        <w:rPr>
          <w:rFonts w:ascii="Times New Roman" w:hAnsi="Times New Roman" w:cs="Times New Roman"/>
          <w:b/>
        </w:rPr>
      </w:pPr>
    </w:p>
    <w:p w14:paraId="13A7A79F" w14:textId="77777777" w:rsidR="00036ECA" w:rsidRDefault="00036ECA" w:rsidP="002D282F">
      <w:pPr>
        <w:pStyle w:val="ListeParagraf"/>
        <w:tabs>
          <w:tab w:val="left" w:pos="851"/>
          <w:tab w:val="left" w:pos="993"/>
        </w:tabs>
        <w:ind w:left="0" w:firstLine="709"/>
        <w:jc w:val="both"/>
        <w:rPr>
          <w:rFonts w:ascii="Times New Roman" w:hAnsi="Times New Roman" w:cs="Times New Roman"/>
          <w:b/>
        </w:rPr>
      </w:pPr>
    </w:p>
    <w:p w14:paraId="21D63FBA" w14:textId="77777777" w:rsidR="00321F9A" w:rsidRPr="002D282F" w:rsidRDefault="00C25F3F" w:rsidP="002D282F">
      <w:pPr>
        <w:pStyle w:val="ListeParagraf"/>
        <w:tabs>
          <w:tab w:val="left" w:pos="851"/>
          <w:tab w:val="left" w:pos="993"/>
        </w:tabs>
        <w:ind w:left="0" w:firstLine="709"/>
        <w:jc w:val="both"/>
        <w:rPr>
          <w:rFonts w:ascii="Times New Roman" w:hAnsi="Times New Roman" w:cs="Times New Roman"/>
          <w:b/>
        </w:rPr>
      </w:pPr>
      <w:r w:rsidRPr="002D282F">
        <w:rPr>
          <w:rFonts w:ascii="Times New Roman" w:hAnsi="Times New Roman" w:cs="Times New Roman"/>
          <w:b/>
        </w:rPr>
        <w:lastRenderedPageBreak/>
        <w:t>Tüketicilerin b</w:t>
      </w:r>
      <w:r w:rsidR="00321F9A" w:rsidRPr="002D282F">
        <w:rPr>
          <w:rFonts w:ascii="Times New Roman" w:hAnsi="Times New Roman" w:cs="Times New Roman"/>
          <w:b/>
        </w:rPr>
        <w:t>ilgilendir</w:t>
      </w:r>
      <w:r w:rsidRPr="002D282F">
        <w:rPr>
          <w:rFonts w:ascii="Times New Roman" w:hAnsi="Times New Roman" w:cs="Times New Roman"/>
          <w:b/>
        </w:rPr>
        <w:t>il</w:t>
      </w:r>
      <w:r w:rsidR="00321F9A" w:rsidRPr="002D282F">
        <w:rPr>
          <w:rFonts w:ascii="Times New Roman" w:hAnsi="Times New Roman" w:cs="Times New Roman"/>
          <w:b/>
        </w:rPr>
        <w:t>me</w:t>
      </w:r>
      <w:r w:rsidRPr="002D282F">
        <w:rPr>
          <w:rFonts w:ascii="Times New Roman" w:hAnsi="Times New Roman" w:cs="Times New Roman"/>
          <w:b/>
        </w:rPr>
        <w:t>si</w:t>
      </w:r>
    </w:p>
    <w:p w14:paraId="3357888E" w14:textId="77777777" w:rsidR="00DB0FD0" w:rsidRPr="00FE1E42" w:rsidRDefault="00321F9A" w:rsidP="008B5D58">
      <w:pPr>
        <w:pStyle w:val="ListeParagraf"/>
        <w:tabs>
          <w:tab w:val="left" w:pos="851"/>
          <w:tab w:val="left" w:pos="993"/>
        </w:tabs>
        <w:ind w:left="0" w:firstLine="709"/>
        <w:jc w:val="both"/>
        <w:rPr>
          <w:rFonts w:ascii="Times New Roman" w:hAnsi="Times New Roman" w:cs="Times New Roman"/>
        </w:rPr>
      </w:pPr>
      <w:r w:rsidRPr="002D282F">
        <w:rPr>
          <w:rFonts w:ascii="Times New Roman" w:hAnsi="Times New Roman" w:cs="Times New Roman"/>
          <w:b/>
        </w:rPr>
        <w:t xml:space="preserve">MADDE </w:t>
      </w:r>
      <w:r w:rsidR="00A35BC3">
        <w:rPr>
          <w:rFonts w:ascii="Times New Roman" w:hAnsi="Times New Roman" w:cs="Times New Roman"/>
          <w:b/>
        </w:rPr>
        <w:t>6</w:t>
      </w:r>
      <w:r w:rsidRPr="002D282F">
        <w:rPr>
          <w:rFonts w:ascii="Times New Roman" w:hAnsi="Times New Roman" w:cs="Times New Roman"/>
        </w:rPr>
        <w:t xml:space="preserve"> – </w:t>
      </w:r>
      <w:r w:rsidR="008B5D58" w:rsidRPr="00FE1E42">
        <w:rPr>
          <w:rFonts w:ascii="Times New Roman" w:hAnsi="Times New Roman" w:cs="Times New Roman"/>
        </w:rPr>
        <w:t>(1) Değerlendirmelerin yayınlanmasına yönelik olarak satıcı, sağlayıcı veya aracı hizmet sağlayıcı tarafından belirlenen esas ve kurallara, değerlendirmelerin yayınlandığı alanda ya da bir bağlantı veya uyarı</w:t>
      </w:r>
      <w:r w:rsidR="008B5D58" w:rsidRPr="00FE1E42">
        <w:rPr>
          <w:rFonts w:ascii="Times New Roman" w:hAnsi="Times New Roman" w:cs="Times New Roman"/>
          <w:b/>
        </w:rPr>
        <w:t xml:space="preserve"> </w:t>
      </w:r>
      <w:r w:rsidR="008B5D58" w:rsidRPr="00FE1E42">
        <w:rPr>
          <w:rFonts w:ascii="Times New Roman" w:hAnsi="Times New Roman" w:cs="Times New Roman"/>
        </w:rPr>
        <w:t xml:space="preserve">işareti ile tüketicilerin yönlendirildiği açılır ekranda yer verilir. </w:t>
      </w:r>
    </w:p>
    <w:p w14:paraId="401E7C17" w14:textId="77777777" w:rsidR="00DB0FD0" w:rsidRPr="00FE1E42" w:rsidRDefault="00DB0FD0" w:rsidP="00DB0FD0">
      <w:pPr>
        <w:pStyle w:val="ListeParagraf"/>
        <w:tabs>
          <w:tab w:val="left" w:pos="851"/>
          <w:tab w:val="left" w:pos="993"/>
        </w:tabs>
        <w:ind w:left="0" w:firstLine="709"/>
        <w:jc w:val="both"/>
        <w:rPr>
          <w:rFonts w:ascii="Times New Roman" w:hAnsi="Times New Roman" w:cs="Times New Roman"/>
        </w:rPr>
      </w:pPr>
      <w:r w:rsidRPr="00FE1E42">
        <w:rPr>
          <w:rFonts w:ascii="Times New Roman" w:hAnsi="Times New Roman" w:cs="Times New Roman"/>
        </w:rPr>
        <w:t xml:space="preserve">(2) </w:t>
      </w:r>
      <w:r w:rsidR="008B5D58" w:rsidRPr="00FE1E42">
        <w:rPr>
          <w:rFonts w:ascii="Times New Roman" w:hAnsi="Times New Roman" w:cs="Times New Roman"/>
        </w:rPr>
        <w:t>B</w:t>
      </w:r>
      <w:r w:rsidR="00FE1E42" w:rsidRPr="00FE1E42">
        <w:rPr>
          <w:rFonts w:ascii="Times New Roman" w:hAnsi="Times New Roman" w:cs="Times New Roman"/>
        </w:rPr>
        <w:t>irinci fıkrada belirtilen</w:t>
      </w:r>
      <w:r w:rsidR="008B5D58" w:rsidRPr="00FE1E42">
        <w:rPr>
          <w:rFonts w:ascii="Times New Roman" w:hAnsi="Times New Roman" w:cs="Times New Roman"/>
        </w:rPr>
        <w:t xml:space="preserve"> esas ve kurallar, tüketicilerin satın alma kararında ana faktörler olan mal veya hizmete </w:t>
      </w:r>
      <w:r w:rsidR="007524D1">
        <w:rPr>
          <w:rFonts w:ascii="Times New Roman" w:hAnsi="Times New Roman" w:cs="Times New Roman"/>
        </w:rPr>
        <w:t>ya da</w:t>
      </w:r>
      <w:r w:rsidR="008B5D58" w:rsidRPr="00FE1E42">
        <w:rPr>
          <w:rFonts w:ascii="Times New Roman" w:hAnsi="Times New Roman" w:cs="Times New Roman"/>
        </w:rPr>
        <w:t xml:space="preserve"> teslimat başta olmak üzere ilgili yan sözleşmeler</w:t>
      </w:r>
      <w:r w:rsidR="007524D1">
        <w:rPr>
          <w:rFonts w:ascii="Times New Roman" w:hAnsi="Times New Roman" w:cs="Times New Roman"/>
        </w:rPr>
        <w:t>e ilişkin</w:t>
      </w:r>
      <w:r w:rsidR="008B5D58" w:rsidRPr="00FE1E42">
        <w:rPr>
          <w:rFonts w:ascii="Times New Roman" w:hAnsi="Times New Roman" w:cs="Times New Roman"/>
        </w:rPr>
        <w:t xml:space="preserve"> </w:t>
      </w:r>
      <w:r w:rsidR="00FE1E42" w:rsidRPr="00FE1E42">
        <w:rPr>
          <w:rFonts w:ascii="Times New Roman" w:hAnsi="Times New Roman" w:cs="Times New Roman"/>
        </w:rPr>
        <w:t>değerlendirme</w:t>
      </w:r>
      <w:r w:rsidR="008B5D58" w:rsidRPr="00FE1E42">
        <w:rPr>
          <w:rFonts w:ascii="Times New Roman" w:hAnsi="Times New Roman" w:cs="Times New Roman"/>
        </w:rPr>
        <w:t xml:space="preserve"> yapmasını engelleyecek veya sadece belirli konularda </w:t>
      </w:r>
      <w:r w:rsidR="00FE1E42" w:rsidRPr="00FE1E42">
        <w:rPr>
          <w:rFonts w:ascii="Times New Roman" w:hAnsi="Times New Roman" w:cs="Times New Roman"/>
        </w:rPr>
        <w:t>değerlendirme</w:t>
      </w:r>
      <w:r w:rsidR="008B5D58" w:rsidRPr="00FE1E42">
        <w:rPr>
          <w:rFonts w:ascii="Times New Roman" w:hAnsi="Times New Roman" w:cs="Times New Roman"/>
        </w:rPr>
        <w:t xml:space="preserve"> yapılmasını</w:t>
      </w:r>
      <w:r w:rsidR="007524D1">
        <w:rPr>
          <w:rFonts w:ascii="Times New Roman" w:hAnsi="Times New Roman" w:cs="Times New Roman"/>
        </w:rPr>
        <w:t xml:space="preserve"> sağlayacak şekilde belirlenmemelidir</w:t>
      </w:r>
      <w:r w:rsidR="008B5D58" w:rsidRPr="00FE1E42">
        <w:rPr>
          <w:rFonts w:ascii="Times New Roman" w:hAnsi="Times New Roman" w:cs="Times New Roman"/>
        </w:rPr>
        <w:t xml:space="preserve">. </w:t>
      </w:r>
    </w:p>
    <w:p w14:paraId="6C8B4349" w14:textId="77777777" w:rsidR="00DB0FD0" w:rsidRPr="00FE1E42" w:rsidRDefault="00DB0FD0" w:rsidP="008B5D58">
      <w:pPr>
        <w:pStyle w:val="ListeParagraf"/>
        <w:tabs>
          <w:tab w:val="left" w:pos="851"/>
          <w:tab w:val="left" w:pos="993"/>
        </w:tabs>
        <w:ind w:left="0" w:firstLine="709"/>
        <w:jc w:val="both"/>
        <w:rPr>
          <w:rFonts w:ascii="Times New Roman" w:hAnsi="Times New Roman" w:cs="Times New Roman"/>
        </w:rPr>
      </w:pPr>
      <w:r w:rsidRPr="00FE1E42">
        <w:rPr>
          <w:rFonts w:ascii="Times New Roman" w:hAnsi="Times New Roman" w:cs="Times New Roman"/>
        </w:rPr>
        <w:t>Örneğin, tüketicinin bir aracı hizmet sağlayıcı</w:t>
      </w:r>
      <w:r w:rsidR="00FE1E42" w:rsidRPr="00FE1E42">
        <w:rPr>
          <w:rFonts w:ascii="Times New Roman" w:hAnsi="Times New Roman" w:cs="Times New Roman"/>
        </w:rPr>
        <w:t>y</w:t>
      </w:r>
      <w:r w:rsidRPr="00FE1E42">
        <w:rPr>
          <w:rFonts w:ascii="Times New Roman" w:hAnsi="Times New Roman" w:cs="Times New Roman"/>
        </w:rPr>
        <w:t xml:space="preserve">a ait </w:t>
      </w:r>
      <w:r w:rsidR="004D45CD">
        <w:rPr>
          <w:rFonts w:ascii="Times New Roman" w:hAnsi="Times New Roman" w:cs="Times New Roman"/>
        </w:rPr>
        <w:t>platform</w:t>
      </w:r>
      <w:r w:rsidRPr="00FE1E42">
        <w:rPr>
          <w:rFonts w:ascii="Times New Roman" w:hAnsi="Times New Roman" w:cs="Times New Roman"/>
        </w:rPr>
        <w:t xml:space="preserve"> üzerinden mal satın al</w:t>
      </w:r>
      <w:r w:rsidR="0089399E">
        <w:rPr>
          <w:rFonts w:ascii="Times New Roman" w:hAnsi="Times New Roman" w:cs="Times New Roman"/>
        </w:rPr>
        <w:t>arak</w:t>
      </w:r>
      <w:r w:rsidRPr="00FE1E42">
        <w:rPr>
          <w:rFonts w:ascii="Times New Roman" w:hAnsi="Times New Roman" w:cs="Times New Roman"/>
        </w:rPr>
        <w:t xml:space="preserve"> satıcı veya </w:t>
      </w:r>
      <w:r w:rsidR="00FE1E42" w:rsidRPr="00FE1E42">
        <w:rPr>
          <w:rFonts w:ascii="Times New Roman" w:hAnsi="Times New Roman" w:cs="Times New Roman"/>
        </w:rPr>
        <w:t>sa</w:t>
      </w:r>
      <w:r w:rsidR="00116F8F">
        <w:rPr>
          <w:rFonts w:ascii="Times New Roman" w:hAnsi="Times New Roman" w:cs="Times New Roman"/>
        </w:rPr>
        <w:t>t</w:t>
      </w:r>
      <w:r w:rsidR="00FE1E42" w:rsidRPr="00FE1E42">
        <w:rPr>
          <w:rFonts w:ascii="Times New Roman" w:hAnsi="Times New Roman" w:cs="Times New Roman"/>
        </w:rPr>
        <w:t xml:space="preserve">ın alınan </w:t>
      </w:r>
      <w:r w:rsidRPr="00FE1E42">
        <w:rPr>
          <w:rFonts w:ascii="Times New Roman" w:hAnsi="Times New Roman" w:cs="Times New Roman"/>
        </w:rPr>
        <w:t>mal</w:t>
      </w:r>
      <w:r w:rsidR="00FE1E42" w:rsidRPr="00FE1E42">
        <w:rPr>
          <w:rFonts w:ascii="Times New Roman" w:hAnsi="Times New Roman" w:cs="Times New Roman"/>
        </w:rPr>
        <w:t>a</w:t>
      </w:r>
      <w:r w:rsidRPr="00FE1E42">
        <w:rPr>
          <w:rFonts w:ascii="Times New Roman" w:hAnsi="Times New Roman" w:cs="Times New Roman"/>
        </w:rPr>
        <w:t xml:space="preserve"> ilişkin orijinallik, kusurlu ürün gibi konularda </w:t>
      </w:r>
      <w:r w:rsidR="00FE1E42" w:rsidRPr="00FE1E42">
        <w:rPr>
          <w:rFonts w:ascii="Times New Roman" w:hAnsi="Times New Roman" w:cs="Times New Roman"/>
        </w:rPr>
        <w:t>deneyimini paylaşmak</w:t>
      </w:r>
      <w:r w:rsidRPr="00FE1E42">
        <w:rPr>
          <w:rFonts w:ascii="Times New Roman" w:hAnsi="Times New Roman" w:cs="Times New Roman"/>
        </w:rPr>
        <w:t xml:space="preserve"> istemesi durumunda bu </w:t>
      </w:r>
      <w:r w:rsidR="00FE1E42" w:rsidRPr="00FE1E42">
        <w:rPr>
          <w:rFonts w:ascii="Times New Roman" w:hAnsi="Times New Roman" w:cs="Times New Roman"/>
        </w:rPr>
        <w:t>değerlendirme</w:t>
      </w:r>
      <w:r w:rsidRPr="00FE1E42">
        <w:rPr>
          <w:rFonts w:ascii="Times New Roman" w:hAnsi="Times New Roman" w:cs="Times New Roman"/>
        </w:rPr>
        <w:t>, aracı hizmet sağlayıcı tarafından belirlenen “</w:t>
      </w:r>
      <w:r w:rsidRPr="00FE1E42">
        <w:rPr>
          <w:rFonts w:ascii="Times New Roman" w:hAnsi="Times New Roman" w:cs="Times New Roman"/>
          <w:i/>
          <w:iCs/>
        </w:rPr>
        <w:t>Satıcı değerlendirmesi olarak nitelendirilebilecek, eksik/kusurlu ürün, yanlış ürün gönderimi, teslimat, paketleme ve ürün orijinalliği ile ilgili yorumlar yapılamaz</w:t>
      </w:r>
      <w:r w:rsidRPr="00FE1E42">
        <w:rPr>
          <w:rFonts w:ascii="Times New Roman" w:hAnsi="Times New Roman" w:cs="Times New Roman"/>
        </w:rPr>
        <w:t>” şeklinde</w:t>
      </w:r>
      <w:r w:rsidR="00FE1E42" w:rsidRPr="00FE1E42">
        <w:rPr>
          <w:rFonts w:ascii="Times New Roman" w:hAnsi="Times New Roman" w:cs="Times New Roman"/>
        </w:rPr>
        <w:t xml:space="preserve"> belirlenen bir</w:t>
      </w:r>
      <w:r w:rsidRPr="00FE1E42">
        <w:rPr>
          <w:rFonts w:ascii="Times New Roman" w:hAnsi="Times New Roman" w:cs="Times New Roman"/>
        </w:rPr>
        <w:t xml:space="preserve"> kural </w:t>
      </w:r>
      <w:r w:rsidR="00FE1E42" w:rsidRPr="00FE1E42">
        <w:rPr>
          <w:rFonts w:ascii="Times New Roman" w:hAnsi="Times New Roman" w:cs="Times New Roman"/>
        </w:rPr>
        <w:t>ile</w:t>
      </w:r>
      <w:r w:rsidRPr="00FE1E42">
        <w:rPr>
          <w:rFonts w:ascii="Times New Roman" w:hAnsi="Times New Roman" w:cs="Times New Roman"/>
        </w:rPr>
        <w:t xml:space="preserve"> reddedilemez. </w:t>
      </w:r>
    </w:p>
    <w:p w14:paraId="35A14BEB" w14:textId="77777777" w:rsidR="00DB0FD0" w:rsidRDefault="00DB0FD0" w:rsidP="00DB0FD0">
      <w:pPr>
        <w:pStyle w:val="ListeParagraf"/>
        <w:tabs>
          <w:tab w:val="left" w:pos="851"/>
          <w:tab w:val="left" w:pos="993"/>
        </w:tabs>
        <w:ind w:left="0" w:firstLine="709"/>
        <w:jc w:val="both"/>
        <w:rPr>
          <w:rFonts w:ascii="Times New Roman" w:hAnsi="Times New Roman" w:cs="Times New Roman"/>
        </w:rPr>
      </w:pPr>
      <w:r w:rsidRPr="00C45E3A">
        <w:rPr>
          <w:rFonts w:ascii="Times New Roman" w:hAnsi="Times New Roman" w:cs="Times New Roman"/>
        </w:rPr>
        <w:t>Benzer şekilde, tüketici</w:t>
      </w:r>
      <w:r w:rsidR="00C45E3A" w:rsidRPr="00C45E3A">
        <w:rPr>
          <w:rFonts w:ascii="Times New Roman" w:hAnsi="Times New Roman" w:cs="Times New Roman"/>
        </w:rPr>
        <w:t>ler</w:t>
      </w:r>
      <w:r w:rsidRPr="00C45E3A">
        <w:rPr>
          <w:rFonts w:ascii="Times New Roman" w:hAnsi="Times New Roman" w:cs="Times New Roman"/>
        </w:rPr>
        <w:t>in internet üzerinden</w:t>
      </w:r>
      <w:r w:rsidR="00AD121A">
        <w:rPr>
          <w:rFonts w:ascii="Times New Roman" w:hAnsi="Times New Roman" w:cs="Times New Roman"/>
        </w:rPr>
        <w:t xml:space="preserve"> verdiği yemek siparişine ilişkin olarak teslimatla ilgili </w:t>
      </w:r>
      <w:r w:rsidRPr="00C45E3A">
        <w:rPr>
          <w:rFonts w:ascii="Times New Roman" w:hAnsi="Times New Roman" w:cs="Times New Roman"/>
        </w:rPr>
        <w:t xml:space="preserve">tüketici </w:t>
      </w:r>
      <w:r w:rsidR="00C45E3A" w:rsidRPr="00C45E3A">
        <w:rPr>
          <w:rFonts w:ascii="Times New Roman" w:hAnsi="Times New Roman" w:cs="Times New Roman"/>
        </w:rPr>
        <w:t>değerlendirmesi</w:t>
      </w:r>
      <w:r w:rsidRPr="00C45E3A">
        <w:rPr>
          <w:rFonts w:ascii="Times New Roman" w:hAnsi="Times New Roman" w:cs="Times New Roman"/>
        </w:rPr>
        <w:t xml:space="preserve"> “</w:t>
      </w:r>
      <w:r w:rsidRPr="00C45E3A">
        <w:rPr>
          <w:rFonts w:ascii="Times New Roman" w:hAnsi="Times New Roman" w:cs="Times New Roman"/>
          <w:i/>
          <w:iCs/>
        </w:rPr>
        <w:t>restorandan alınan hizmetten bağımsız</w:t>
      </w:r>
      <w:r w:rsidRPr="00C45E3A">
        <w:rPr>
          <w:rFonts w:ascii="Times New Roman" w:hAnsi="Times New Roman" w:cs="Times New Roman"/>
        </w:rPr>
        <w:t xml:space="preserve">” olduğu gerekçesi ile reddedilemez. </w:t>
      </w:r>
    </w:p>
    <w:p w14:paraId="07EA4EB7" w14:textId="77777777" w:rsidR="008B5D58" w:rsidRDefault="00DB0FD0" w:rsidP="008B5D58">
      <w:pPr>
        <w:pStyle w:val="ListeParagraf"/>
        <w:tabs>
          <w:tab w:val="left" w:pos="851"/>
          <w:tab w:val="left" w:pos="993"/>
        </w:tabs>
        <w:ind w:left="0" w:firstLine="709"/>
        <w:jc w:val="both"/>
        <w:rPr>
          <w:rFonts w:ascii="Times New Roman" w:hAnsi="Times New Roman" w:cs="Times New Roman"/>
        </w:rPr>
      </w:pPr>
      <w:r w:rsidRPr="004063FE">
        <w:rPr>
          <w:rFonts w:ascii="Times New Roman" w:hAnsi="Times New Roman" w:cs="Times New Roman"/>
        </w:rPr>
        <w:t xml:space="preserve">(3) </w:t>
      </w:r>
      <w:r w:rsidR="008B5D58" w:rsidRPr="004063FE">
        <w:rPr>
          <w:rFonts w:ascii="Times New Roman" w:hAnsi="Times New Roman" w:cs="Times New Roman"/>
        </w:rPr>
        <w:t>Satıcı, sağlayıcı ya da aracı hizmet sağlayıcılar, yayınlanan değerlendirmelerin o mal veya hizmeti satın al</w:t>
      </w:r>
      <w:r w:rsidR="004063FE" w:rsidRPr="004063FE">
        <w:rPr>
          <w:rFonts w:ascii="Times New Roman" w:hAnsi="Times New Roman" w:cs="Times New Roman"/>
        </w:rPr>
        <w:t>an</w:t>
      </w:r>
      <w:r w:rsidR="008B5D58" w:rsidRPr="004063FE">
        <w:rPr>
          <w:rFonts w:ascii="Times New Roman" w:hAnsi="Times New Roman" w:cs="Times New Roman"/>
        </w:rPr>
        <w:t xml:space="preserve"> tüketiciler tarafından yapıldığının ispatına ilişkin uygulanan süreçler ile tüm tüketici değerlendirmelerinin yayınlanıp yayınlanmadığı, ortalama değerlendirme puanının nasıl hesaplandığı</w:t>
      </w:r>
      <w:r w:rsidR="0089399E">
        <w:rPr>
          <w:rFonts w:ascii="Times New Roman" w:hAnsi="Times New Roman" w:cs="Times New Roman"/>
        </w:rPr>
        <w:t xml:space="preserve"> ve</w:t>
      </w:r>
      <w:r w:rsidR="008B5D58" w:rsidRPr="004063FE">
        <w:rPr>
          <w:rFonts w:ascii="Times New Roman" w:hAnsi="Times New Roman" w:cs="Times New Roman"/>
        </w:rPr>
        <w:t xml:space="preserve"> değerlendirmelerin nasıl sıralandığı konularında tüketicileri </w:t>
      </w:r>
      <w:r w:rsidR="00BF5DF9">
        <w:rPr>
          <w:rFonts w:ascii="Times New Roman" w:hAnsi="Times New Roman" w:cs="Times New Roman"/>
        </w:rPr>
        <w:t xml:space="preserve">açık ve anlaşılır bir biçimde </w:t>
      </w:r>
      <w:r w:rsidR="008B5D58" w:rsidRPr="004063FE">
        <w:rPr>
          <w:rFonts w:ascii="Times New Roman" w:hAnsi="Times New Roman" w:cs="Times New Roman"/>
        </w:rPr>
        <w:t>bilgilendirmelidir.</w:t>
      </w:r>
    </w:p>
    <w:p w14:paraId="42DA7BE0" w14:textId="77777777" w:rsidR="002845FC" w:rsidRPr="00D93978" w:rsidRDefault="002845FC" w:rsidP="002D282F">
      <w:pPr>
        <w:pStyle w:val="ListeParagraf"/>
        <w:tabs>
          <w:tab w:val="left" w:pos="851"/>
          <w:tab w:val="left" w:pos="993"/>
        </w:tabs>
        <w:ind w:left="0" w:firstLine="709"/>
        <w:jc w:val="both"/>
        <w:rPr>
          <w:rFonts w:ascii="Times New Roman" w:hAnsi="Times New Roman" w:cs="Times New Roman"/>
          <w:color w:val="FF0000"/>
        </w:rPr>
      </w:pPr>
      <w:r w:rsidRPr="002D282F">
        <w:rPr>
          <w:rFonts w:ascii="Times New Roman" w:hAnsi="Times New Roman" w:cs="Times New Roman"/>
        </w:rPr>
        <w:t>(</w:t>
      </w:r>
      <w:r w:rsidR="00116F8F">
        <w:rPr>
          <w:rFonts w:ascii="Times New Roman" w:hAnsi="Times New Roman" w:cs="Times New Roman"/>
        </w:rPr>
        <w:t>4</w:t>
      </w:r>
      <w:r w:rsidRPr="002D282F">
        <w:rPr>
          <w:rFonts w:ascii="Times New Roman" w:hAnsi="Times New Roman" w:cs="Times New Roman"/>
        </w:rPr>
        <w:t xml:space="preserve">) Aracı hizmet sağlayıcılar değerlendirme yapan tüketicinin o mal ya da hizmeti gerçekten satın alan bir </w:t>
      </w:r>
      <w:r w:rsidR="003B4FE0" w:rsidRPr="00C433A8">
        <w:rPr>
          <w:rFonts w:ascii="Times New Roman" w:hAnsi="Times New Roman" w:cs="Times New Roman"/>
        </w:rPr>
        <w:t>tüketici</w:t>
      </w:r>
      <w:r w:rsidRPr="00C433A8">
        <w:rPr>
          <w:rFonts w:ascii="Times New Roman" w:hAnsi="Times New Roman" w:cs="Times New Roman"/>
        </w:rPr>
        <w:t xml:space="preserve"> tarafından yapıldığını “</w:t>
      </w:r>
      <w:r w:rsidRPr="00C433A8">
        <w:rPr>
          <w:rFonts w:ascii="Times New Roman" w:hAnsi="Times New Roman" w:cs="Times New Roman"/>
          <w:i/>
        </w:rPr>
        <w:t>… satıcısından satın alındı</w:t>
      </w:r>
      <w:r w:rsidRPr="00C433A8">
        <w:rPr>
          <w:rFonts w:ascii="Times New Roman" w:hAnsi="Times New Roman" w:cs="Times New Roman"/>
        </w:rPr>
        <w:t xml:space="preserve">” </w:t>
      </w:r>
      <w:r w:rsidR="00502B91" w:rsidRPr="00C433A8">
        <w:rPr>
          <w:rFonts w:ascii="TimesNewRomanPS-ItalicMT" w:hAnsi="TimesNewRomanPS-ItalicMT" w:cs="TimesNewRomanPS-ItalicMT"/>
        </w:rPr>
        <w:t>veya “</w:t>
      </w:r>
      <w:r w:rsidR="00502B91" w:rsidRPr="008400F3">
        <w:rPr>
          <w:rFonts w:ascii="TimesNewRomanPS-ItalicMT" w:hAnsi="TimesNewRomanPS-ItalicMT" w:cs="TimesNewRomanPS-ItalicMT"/>
          <w:i/>
          <w:iCs/>
        </w:rPr>
        <w:t>Doğrulanmış kullanıcı</w:t>
      </w:r>
      <w:r w:rsidR="00502B91" w:rsidRPr="00C433A8">
        <w:rPr>
          <w:rFonts w:ascii="TimesNewRomanPS-ItalicMT" w:hAnsi="TimesNewRomanPS-ItalicMT" w:cs="TimesNewRomanPS-ItalicMT"/>
        </w:rPr>
        <w:t>” gibi ifadelerle</w:t>
      </w:r>
      <w:r w:rsidR="00502B91" w:rsidRPr="00C433A8">
        <w:rPr>
          <w:rFonts w:ascii="Times New Roman" w:hAnsi="Times New Roman" w:cs="Times New Roman"/>
        </w:rPr>
        <w:t xml:space="preserve"> </w:t>
      </w:r>
      <w:r w:rsidRPr="00C433A8">
        <w:rPr>
          <w:rFonts w:ascii="Times New Roman" w:hAnsi="Times New Roman" w:cs="Times New Roman"/>
        </w:rPr>
        <w:t>belirt</w:t>
      </w:r>
      <w:r w:rsidR="000B6FC7" w:rsidRPr="00C433A8">
        <w:rPr>
          <w:rFonts w:ascii="Times New Roman" w:hAnsi="Times New Roman" w:cs="Times New Roman"/>
        </w:rPr>
        <w:t>melid</w:t>
      </w:r>
      <w:r w:rsidRPr="00C433A8">
        <w:rPr>
          <w:rFonts w:ascii="Times New Roman" w:hAnsi="Times New Roman" w:cs="Times New Roman"/>
        </w:rPr>
        <w:t>ir</w:t>
      </w:r>
      <w:r w:rsidR="000B6FC7" w:rsidRPr="00C433A8">
        <w:rPr>
          <w:rFonts w:ascii="Times New Roman" w:hAnsi="Times New Roman" w:cs="Times New Roman"/>
        </w:rPr>
        <w:t>.</w:t>
      </w:r>
    </w:p>
    <w:p w14:paraId="52CF1F75" w14:textId="77777777" w:rsidR="002845FC" w:rsidRPr="002D282F" w:rsidRDefault="002845FC" w:rsidP="002D282F">
      <w:pPr>
        <w:pStyle w:val="ListeParagraf"/>
        <w:tabs>
          <w:tab w:val="left" w:pos="851"/>
          <w:tab w:val="left" w:pos="993"/>
        </w:tabs>
        <w:ind w:left="0" w:firstLine="709"/>
        <w:jc w:val="both"/>
        <w:rPr>
          <w:rFonts w:ascii="Times New Roman" w:hAnsi="Times New Roman" w:cs="Times New Roman"/>
        </w:rPr>
      </w:pPr>
      <w:r w:rsidRPr="002D282F">
        <w:rPr>
          <w:rFonts w:ascii="Times New Roman" w:hAnsi="Times New Roman" w:cs="Times New Roman"/>
        </w:rPr>
        <w:t>(</w:t>
      </w:r>
      <w:r w:rsidR="00116F8F">
        <w:rPr>
          <w:rFonts w:ascii="Times New Roman" w:hAnsi="Times New Roman" w:cs="Times New Roman"/>
        </w:rPr>
        <w:t>5</w:t>
      </w:r>
      <w:r w:rsidRPr="002D282F">
        <w:rPr>
          <w:rFonts w:ascii="Times New Roman" w:hAnsi="Times New Roman" w:cs="Times New Roman"/>
        </w:rPr>
        <w:t>) Bir mal ya da hizmeti satın aldığı doğrulansa dahi değerlendirmesinde satıcı, sağlayıcı ya da aracı hizmet sağlayıcılar tarafından belirlenen esas ve kurallar çerçevesinde yayı</w:t>
      </w:r>
      <w:r w:rsidR="006919F7" w:rsidRPr="002D282F">
        <w:rPr>
          <w:rFonts w:ascii="Times New Roman" w:hAnsi="Times New Roman" w:cs="Times New Roman"/>
        </w:rPr>
        <w:t>n</w:t>
      </w:r>
      <w:r w:rsidRPr="002D282F">
        <w:rPr>
          <w:rFonts w:ascii="Times New Roman" w:hAnsi="Times New Roman" w:cs="Times New Roman"/>
        </w:rPr>
        <w:t>lanmasına izin verilmeyen ifade</w:t>
      </w:r>
      <w:r w:rsidR="00F11497">
        <w:rPr>
          <w:rFonts w:ascii="Times New Roman" w:hAnsi="Times New Roman" w:cs="Times New Roman"/>
        </w:rPr>
        <w:t>lerin</w:t>
      </w:r>
      <w:r w:rsidRPr="002D282F">
        <w:rPr>
          <w:rFonts w:ascii="Times New Roman" w:hAnsi="Times New Roman" w:cs="Times New Roman"/>
        </w:rPr>
        <w:t xml:space="preserve"> yer al</w:t>
      </w:r>
      <w:r w:rsidR="00F11497">
        <w:rPr>
          <w:rFonts w:ascii="Times New Roman" w:hAnsi="Times New Roman" w:cs="Times New Roman"/>
        </w:rPr>
        <w:t>dığı</w:t>
      </w:r>
      <w:r w:rsidRPr="002D282F">
        <w:rPr>
          <w:rFonts w:ascii="Times New Roman" w:hAnsi="Times New Roman" w:cs="Times New Roman"/>
        </w:rPr>
        <w:t xml:space="preserve"> değerlendirmelerle ilgili </w:t>
      </w:r>
      <w:r w:rsidR="003B4FE0">
        <w:rPr>
          <w:rFonts w:ascii="Times New Roman" w:hAnsi="Times New Roman" w:cs="Times New Roman"/>
        </w:rPr>
        <w:t xml:space="preserve">yayınlanmama gerekçesi </w:t>
      </w:r>
      <w:r w:rsidRPr="002D282F">
        <w:rPr>
          <w:rFonts w:ascii="Times New Roman" w:hAnsi="Times New Roman" w:cs="Times New Roman"/>
        </w:rPr>
        <w:t>tüketiciye gecikmesizin bildirilir.</w:t>
      </w:r>
    </w:p>
    <w:p w14:paraId="6EF6B899" w14:textId="77777777" w:rsidR="009E7FD9" w:rsidRDefault="002845FC" w:rsidP="00C51190">
      <w:pPr>
        <w:pStyle w:val="ListeParagraf"/>
        <w:tabs>
          <w:tab w:val="left" w:pos="851"/>
          <w:tab w:val="left" w:pos="993"/>
        </w:tabs>
        <w:ind w:left="0" w:firstLine="709"/>
        <w:jc w:val="both"/>
        <w:rPr>
          <w:rFonts w:ascii="Times New Roman" w:hAnsi="Times New Roman" w:cs="Times New Roman"/>
        </w:rPr>
      </w:pPr>
      <w:r w:rsidRPr="00B67419">
        <w:rPr>
          <w:rFonts w:ascii="Times New Roman" w:hAnsi="Times New Roman" w:cs="Times New Roman"/>
        </w:rPr>
        <w:t>Örneğin,</w:t>
      </w:r>
      <w:r w:rsidR="00D36142" w:rsidRPr="00B67419">
        <w:rPr>
          <w:rFonts w:ascii="Times New Roman" w:hAnsi="Times New Roman" w:cs="Times New Roman"/>
        </w:rPr>
        <w:t xml:space="preserve"> değerlendirme yayınlama </w:t>
      </w:r>
      <w:r w:rsidR="009A6873" w:rsidRPr="00B67419">
        <w:rPr>
          <w:rFonts w:ascii="Times New Roman" w:hAnsi="Times New Roman" w:cs="Times New Roman"/>
        </w:rPr>
        <w:t xml:space="preserve">ilkesi olarak </w:t>
      </w:r>
      <w:r w:rsidR="00D36142" w:rsidRPr="00B67419">
        <w:rPr>
          <w:rFonts w:ascii="Times New Roman" w:hAnsi="Times New Roman" w:cs="Times New Roman"/>
        </w:rPr>
        <w:t>“</w:t>
      </w:r>
      <w:r w:rsidR="00FE5AD8" w:rsidRPr="00B67419">
        <w:rPr>
          <w:rFonts w:ascii="Times New Roman" w:hAnsi="Times New Roman" w:cs="Times New Roman"/>
          <w:i/>
        </w:rPr>
        <w:t>t</w:t>
      </w:r>
      <w:r w:rsidR="00D36142" w:rsidRPr="00B67419">
        <w:rPr>
          <w:rFonts w:ascii="Times New Roman" w:hAnsi="Times New Roman" w:cs="Times New Roman"/>
          <w:i/>
        </w:rPr>
        <w:t>oplumun bir kesimini inanç, ırk, renk veya cinsiyet dolayısıyla dışlayan</w:t>
      </w:r>
      <w:r w:rsidR="00D36142" w:rsidRPr="00B67419">
        <w:rPr>
          <w:rFonts w:ascii="Times New Roman" w:hAnsi="Times New Roman" w:cs="Times New Roman"/>
        </w:rPr>
        <w:t>”</w:t>
      </w:r>
      <w:r w:rsidR="009A6873" w:rsidRPr="00B67419">
        <w:rPr>
          <w:rFonts w:ascii="Times New Roman" w:hAnsi="Times New Roman" w:cs="Times New Roman"/>
        </w:rPr>
        <w:t>, “</w:t>
      </w:r>
      <w:r w:rsidR="00FE5AD8" w:rsidRPr="00B67419">
        <w:rPr>
          <w:rFonts w:ascii="Times New Roman" w:hAnsi="Times New Roman" w:cs="Times New Roman"/>
          <w:i/>
        </w:rPr>
        <w:t>t</w:t>
      </w:r>
      <w:r w:rsidR="009A6873" w:rsidRPr="00B67419">
        <w:rPr>
          <w:rFonts w:ascii="Times New Roman" w:hAnsi="Times New Roman" w:cs="Times New Roman"/>
          <w:i/>
        </w:rPr>
        <w:t>ehdit niteliğinde veya küfür içeren</w:t>
      </w:r>
      <w:r w:rsidR="009A6873" w:rsidRPr="00B67419">
        <w:rPr>
          <w:rFonts w:ascii="Times New Roman" w:hAnsi="Times New Roman" w:cs="Times New Roman"/>
        </w:rPr>
        <w:t>”</w:t>
      </w:r>
      <w:r w:rsidR="0066055B" w:rsidRPr="00B67419">
        <w:rPr>
          <w:rFonts w:ascii="Times New Roman" w:hAnsi="Times New Roman" w:cs="Times New Roman"/>
        </w:rPr>
        <w:t xml:space="preserve"> veya</w:t>
      </w:r>
      <w:r w:rsidR="009A6873" w:rsidRPr="00B67419">
        <w:rPr>
          <w:rFonts w:ascii="Times New Roman" w:hAnsi="Times New Roman" w:cs="Times New Roman"/>
        </w:rPr>
        <w:t xml:space="preserve"> “</w:t>
      </w:r>
      <w:r w:rsidR="00FE5AD8" w:rsidRPr="00B67419">
        <w:rPr>
          <w:rFonts w:ascii="Times New Roman" w:hAnsi="Times New Roman" w:cs="Times New Roman"/>
          <w:i/>
        </w:rPr>
        <w:t>k</w:t>
      </w:r>
      <w:r w:rsidR="009A6873" w:rsidRPr="00B67419">
        <w:rPr>
          <w:rFonts w:ascii="Times New Roman" w:hAnsi="Times New Roman" w:cs="Times New Roman"/>
          <w:i/>
        </w:rPr>
        <w:t>lavyeden rastgele seçilen karakterlerle bir anlam ifade etmeden oluşturulmuş</w:t>
      </w:r>
      <w:r w:rsidR="00FE5AD8" w:rsidRPr="00B67419">
        <w:rPr>
          <w:rFonts w:ascii="Times New Roman" w:hAnsi="Times New Roman" w:cs="Times New Roman"/>
        </w:rPr>
        <w:t>”</w:t>
      </w:r>
      <w:r w:rsidR="0089399E">
        <w:rPr>
          <w:rFonts w:ascii="Times New Roman" w:hAnsi="Times New Roman" w:cs="Times New Roman"/>
        </w:rPr>
        <w:t xml:space="preserve"> </w:t>
      </w:r>
      <w:r w:rsidR="00225EFA" w:rsidRPr="00B67419">
        <w:rPr>
          <w:rFonts w:ascii="Times New Roman" w:hAnsi="Times New Roman" w:cs="Times New Roman"/>
        </w:rPr>
        <w:t xml:space="preserve">yorumların </w:t>
      </w:r>
      <w:r w:rsidR="00FE5AD8" w:rsidRPr="00B67419">
        <w:rPr>
          <w:rFonts w:ascii="Times New Roman" w:hAnsi="Times New Roman" w:cs="Times New Roman"/>
        </w:rPr>
        <w:t>yayı</w:t>
      </w:r>
      <w:r w:rsidR="0066055B" w:rsidRPr="00B67419">
        <w:rPr>
          <w:rFonts w:ascii="Times New Roman" w:hAnsi="Times New Roman" w:cs="Times New Roman"/>
        </w:rPr>
        <w:t>n</w:t>
      </w:r>
      <w:r w:rsidR="00FE5AD8" w:rsidRPr="00B67419">
        <w:rPr>
          <w:rFonts w:ascii="Times New Roman" w:hAnsi="Times New Roman" w:cs="Times New Roman"/>
        </w:rPr>
        <w:t>lanmayacağı</w:t>
      </w:r>
      <w:r w:rsidR="009A6873" w:rsidRPr="00B67419">
        <w:rPr>
          <w:rFonts w:ascii="Times New Roman" w:hAnsi="Times New Roman" w:cs="Times New Roman"/>
        </w:rPr>
        <w:t xml:space="preserve"> </w:t>
      </w:r>
      <w:r w:rsidR="001733ED" w:rsidRPr="000B6FC7">
        <w:rPr>
          <w:rFonts w:ascii="Times New Roman" w:hAnsi="Times New Roman" w:cs="Times New Roman"/>
        </w:rPr>
        <w:t>belirlen</w:t>
      </w:r>
      <w:r w:rsidR="0089399E">
        <w:rPr>
          <w:rFonts w:ascii="Times New Roman" w:hAnsi="Times New Roman" w:cs="Times New Roman"/>
        </w:rPr>
        <w:t>miş olabilir</w:t>
      </w:r>
      <w:r w:rsidR="001733ED" w:rsidRPr="000B6FC7">
        <w:rPr>
          <w:rFonts w:ascii="Times New Roman" w:hAnsi="Times New Roman" w:cs="Times New Roman"/>
        </w:rPr>
        <w:t>.</w:t>
      </w:r>
      <w:r w:rsidR="001733ED" w:rsidRPr="00B67419">
        <w:rPr>
          <w:rFonts w:ascii="Times New Roman" w:hAnsi="Times New Roman" w:cs="Times New Roman"/>
        </w:rPr>
        <w:t xml:space="preserve"> </w:t>
      </w:r>
      <w:r w:rsidR="00017CD7" w:rsidRPr="00B67419">
        <w:rPr>
          <w:rFonts w:ascii="Times New Roman" w:hAnsi="Times New Roman" w:cs="Times New Roman"/>
        </w:rPr>
        <w:t>Belirlenen bu ilkelere aykırı değerlendirme yapıl</w:t>
      </w:r>
      <w:r w:rsidR="0066055B" w:rsidRPr="00B67419">
        <w:rPr>
          <w:rFonts w:ascii="Times New Roman" w:hAnsi="Times New Roman" w:cs="Times New Roman"/>
        </w:rPr>
        <w:t>mak istendiği</w:t>
      </w:r>
      <w:r w:rsidR="0089399E">
        <w:rPr>
          <w:rFonts w:ascii="Times New Roman" w:hAnsi="Times New Roman" w:cs="Times New Roman"/>
        </w:rPr>
        <w:t>nin</w:t>
      </w:r>
      <w:r w:rsidR="0066055B" w:rsidRPr="00B67419">
        <w:rPr>
          <w:rFonts w:ascii="Times New Roman" w:hAnsi="Times New Roman" w:cs="Times New Roman"/>
        </w:rPr>
        <w:t xml:space="preserve"> tespit</w:t>
      </w:r>
      <w:r w:rsidR="0089399E">
        <w:rPr>
          <w:rFonts w:ascii="Times New Roman" w:hAnsi="Times New Roman" w:cs="Times New Roman"/>
        </w:rPr>
        <w:t>i halinde</w:t>
      </w:r>
      <w:r w:rsidR="00C6106C">
        <w:rPr>
          <w:rFonts w:ascii="Times New Roman" w:hAnsi="Times New Roman" w:cs="Times New Roman"/>
        </w:rPr>
        <w:t xml:space="preserve"> tüketiciye</w:t>
      </w:r>
      <w:r w:rsidR="00017CD7" w:rsidRPr="00B67419">
        <w:rPr>
          <w:rFonts w:ascii="Times New Roman" w:hAnsi="Times New Roman" w:cs="Times New Roman"/>
        </w:rPr>
        <w:t xml:space="preserve"> </w:t>
      </w:r>
      <w:r w:rsidRPr="00B67419">
        <w:rPr>
          <w:rFonts w:ascii="Times New Roman" w:hAnsi="Times New Roman" w:cs="Times New Roman"/>
        </w:rPr>
        <w:t>“</w:t>
      </w:r>
      <w:r w:rsidR="00860E1F" w:rsidRPr="00B67419">
        <w:rPr>
          <w:rFonts w:ascii="Times New Roman" w:hAnsi="Times New Roman" w:cs="Times New Roman"/>
          <w:i/>
        </w:rPr>
        <w:t xml:space="preserve">Değerlendirmeniz </w:t>
      </w:r>
      <w:r w:rsidR="00C13ADD" w:rsidRPr="00B67419">
        <w:rPr>
          <w:rFonts w:ascii="Times New Roman" w:hAnsi="Times New Roman" w:cs="Times New Roman"/>
          <w:i/>
        </w:rPr>
        <w:t>küçük düşürücü/</w:t>
      </w:r>
      <w:r w:rsidR="0089399E">
        <w:rPr>
          <w:rFonts w:ascii="Times New Roman" w:hAnsi="Times New Roman" w:cs="Times New Roman"/>
          <w:i/>
        </w:rPr>
        <w:t>dışlayıcı/</w:t>
      </w:r>
      <w:r w:rsidR="00C13ADD" w:rsidRPr="00B67419">
        <w:rPr>
          <w:rFonts w:ascii="Times New Roman" w:hAnsi="Times New Roman" w:cs="Times New Roman"/>
          <w:i/>
        </w:rPr>
        <w:t>tehdit niteliğinde/</w:t>
      </w:r>
      <w:r w:rsidRPr="00B67419">
        <w:rPr>
          <w:rFonts w:ascii="Times New Roman" w:hAnsi="Times New Roman" w:cs="Times New Roman"/>
          <w:i/>
        </w:rPr>
        <w:t>küfür içer</w:t>
      </w:r>
      <w:r w:rsidR="00860E1F" w:rsidRPr="00B67419">
        <w:rPr>
          <w:rFonts w:ascii="Times New Roman" w:hAnsi="Times New Roman" w:cs="Times New Roman"/>
          <w:i/>
        </w:rPr>
        <w:t>mekte olduğundan</w:t>
      </w:r>
      <w:r w:rsidRPr="00B67419">
        <w:rPr>
          <w:rFonts w:ascii="Times New Roman" w:hAnsi="Times New Roman" w:cs="Times New Roman"/>
          <w:i/>
        </w:rPr>
        <w:t xml:space="preserve"> yorum yayı</w:t>
      </w:r>
      <w:r w:rsidR="006919F7" w:rsidRPr="00B67419">
        <w:rPr>
          <w:rFonts w:ascii="Times New Roman" w:hAnsi="Times New Roman" w:cs="Times New Roman"/>
          <w:i/>
        </w:rPr>
        <w:t>n</w:t>
      </w:r>
      <w:r w:rsidRPr="00B67419">
        <w:rPr>
          <w:rFonts w:ascii="Times New Roman" w:hAnsi="Times New Roman" w:cs="Times New Roman"/>
          <w:i/>
        </w:rPr>
        <w:t>la</w:t>
      </w:r>
      <w:r w:rsidR="00860E1F" w:rsidRPr="00B67419">
        <w:rPr>
          <w:rFonts w:ascii="Times New Roman" w:hAnsi="Times New Roman" w:cs="Times New Roman"/>
          <w:i/>
        </w:rPr>
        <w:t>ma ilkelerimiz gereği yayı</w:t>
      </w:r>
      <w:r w:rsidR="006919F7" w:rsidRPr="00B67419">
        <w:rPr>
          <w:rFonts w:ascii="Times New Roman" w:hAnsi="Times New Roman" w:cs="Times New Roman"/>
          <w:i/>
        </w:rPr>
        <w:t>n</w:t>
      </w:r>
      <w:r w:rsidR="00860E1F" w:rsidRPr="00B67419">
        <w:rPr>
          <w:rFonts w:ascii="Times New Roman" w:hAnsi="Times New Roman" w:cs="Times New Roman"/>
          <w:i/>
        </w:rPr>
        <w:t>lanamamıştır</w:t>
      </w:r>
      <w:r w:rsidRPr="00B67419">
        <w:rPr>
          <w:rFonts w:ascii="Times New Roman" w:hAnsi="Times New Roman" w:cs="Times New Roman"/>
        </w:rPr>
        <w:t>.”</w:t>
      </w:r>
      <w:r w:rsidR="00D36142" w:rsidRPr="00B67419">
        <w:rPr>
          <w:rFonts w:ascii="Times New Roman" w:hAnsi="Times New Roman" w:cs="Times New Roman"/>
        </w:rPr>
        <w:t xml:space="preserve"> şeklinde bir </w:t>
      </w:r>
      <w:r w:rsidR="00C6106C">
        <w:rPr>
          <w:rFonts w:ascii="Times New Roman" w:hAnsi="Times New Roman" w:cs="Times New Roman"/>
        </w:rPr>
        <w:t>geri dönüş</w:t>
      </w:r>
      <w:r w:rsidR="00D36142" w:rsidRPr="00B67419">
        <w:rPr>
          <w:rFonts w:ascii="Times New Roman" w:hAnsi="Times New Roman" w:cs="Times New Roman"/>
        </w:rPr>
        <w:t xml:space="preserve"> yapılabilir.</w:t>
      </w:r>
    </w:p>
    <w:p w14:paraId="0A14B168" w14:textId="77777777" w:rsidR="00C51190" w:rsidRPr="00C433A8" w:rsidRDefault="00022C68" w:rsidP="00C51190">
      <w:pPr>
        <w:pStyle w:val="ListeParagraf"/>
        <w:tabs>
          <w:tab w:val="left" w:pos="851"/>
          <w:tab w:val="left" w:pos="993"/>
        </w:tabs>
        <w:ind w:left="0" w:firstLine="709"/>
        <w:jc w:val="both"/>
        <w:rPr>
          <w:rFonts w:ascii="Times New Roman" w:hAnsi="Times New Roman" w:cs="Times New Roman"/>
        </w:rPr>
      </w:pPr>
      <w:r w:rsidRPr="00C433A8">
        <w:rPr>
          <w:rFonts w:ascii="Times New Roman" w:hAnsi="Times New Roman" w:cs="Times New Roman"/>
        </w:rPr>
        <w:t>(6) Değerlendirme</w:t>
      </w:r>
      <w:r w:rsidR="00C433A8" w:rsidRPr="00C433A8">
        <w:rPr>
          <w:rFonts w:ascii="Times New Roman" w:hAnsi="Times New Roman" w:cs="Times New Roman"/>
        </w:rPr>
        <w:t>si</w:t>
      </w:r>
      <w:r w:rsidRPr="00C433A8">
        <w:rPr>
          <w:rFonts w:ascii="Times New Roman" w:hAnsi="Times New Roman" w:cs="Times New Roman"/>
        </w:rPr>
        <w:t xml:space="preserve"> yayın ilkesine uygun olmadığı gerekçesiyle</w:t>
      </w:r>
      <w:r w:rsidR="00C433A8" w:rsidRPr="00C433A8">
        <w:rPr>
          <w:rFonts w:ascii="Times New Roman" w:hAnsi="Times New Roman" w:cs="Times New Roman"/>
        </w:rPr>
        <w:t xml:space="preserve"> reddedilen</w:t>
      </w:r>
      <w:r w:rsidRPr="00C433A8">
        <w:rPr>
          <w:rFonts w:ascii="Times New Roman" w:hAnsi="Times New Roman" w:cs="Times New Roman"/>
        </w:rPr>
        <w:t xml:space="preserve"> tüketiciye </w:t>
      </w:r>
      <w:r w:rsidR="00C433A8" w:rsidRPr="00C433A8">
        <w:rPr>
          <w:rFonts w:ascii="Times New Roman" w:hAnsi="Times New Roman" w:cs="Times New Roman"/>
        </w:rPr>
        <w:t xml:space="preserve">düzeltme yaparak </w:t>
      </w:r>
      <w:r w:rsidRPr="00C433A8">
        <w:rPr>
          <w:rFonts w:ascii="Times New Roman" w:hAnsi="Times New Roman" w:cs="Times New Roman"/>
        </w:rPr>
        <w:t xml:space="preserve">yeniden </w:t>
      </w:r>
      <w:r w:rsidR="00951D80" w:rsidRPr="00C433A8">
        <w:rPr>
          <w:rFonts w:ascii="Times New Roman" w:hAnsi="Times New Roman" w:cs="Times New Roman"/>
        </w:rPr>
        <w:t>değerlendirme</w:t>
      </w:r>
      <w:r w:rsidRPr="00C433A8">
        <w:rPr>
          <w:rFonts w:ascii="Times New Roman" w:hAnsi="Times New Roman" w:cs="Times New Roman"/>
        </w:rPr>
        <w:t xml:space="preserve"> yapma hakkı verilir.</w:t>
      </w:r>
    </w:p>
    <w:p w14:paraId="56E6A4F1" w14:textId="77777777" w:rsidR="00022C68" w:rsidRPr="00C51190" w:rsidRDefault="00022C68" w:rsidP="00C51190">
      <w:pPr>
        <w:pStyle w:val="ListeParagraf"/>
        <w:tabs>
          <w:tab w:val="left" w:pos="851"/>
          <w:tab w:val="left" w:pos="993"/>
        </w:tabs>
        <w:ind w:left="0" w:firstLine="709"/>
        <w:jc w:val="both"/>
        <w:rPr>
          <w:rFonts w:ascii="Times New Roman" w:hAnsi="Times New Roman" w:cs="Times New Roman"/>
        </w:rPr>
      </w:pPr>
    </w:p>
    <w:p w14:paraId="69529A4C" w14:textId="77777777" w:rsidR="00A6318E" w:rsidRPr="002D282F" w:rsidRDefault="00FF02DE" w:rsidP="002D282F">
      <w:pPr>
        <w:ind w:firstLine="709"/>
        <w:jc w:val="both"/>
        <w:rPr>
          <w:b/>
        </w:rPr>
      </w:pPr>
      <w:r>
        <w:rPr>
          <w:b/>
        </w:rPr>
        <w:t xml:space="preserve">Değerlendirmeleri </w:t>
      </w:r>
      <w:r w:rsidR="00017CD7">
        <w:rPr>
          <w:b/>
        </w:rPr>
        <w:t>k</w:t>
      </w:r>
      <w:r w:rsidR="0024428A" w:rsidRPr="002D282F">
        <w:rPr>
          <w:b/>
        </w:rPr>
        <w:t>ontrol süreci</w:t>
      </w:r>
    </w:p>
    <w:p w14:paraId="20F65344" w14:textId="77777777" w:rsidR="00184BE5" w:rsidRPr="002D282F" w:rsidRDefault="00A6318E" w:rsidP="002D282F">
      <w:pPr>
        <w:ind w:firstLine="709"/>
        <w:jc w:val="both"/>
      </w:pPr>
      <w:r w:rsidRPr="002D282F">
        <w:rPr>
          <w:b/>
          <w:bCs/>
          <w:color w:val="000000"/>
        </w:rPr>
        <w:t xml:space="preserve">MADDE </w:t>
      </w:r>
      <w:r w:rsidR="00017CD7">
        <w:rPr>
          <w:b/>
          <w:bCs/>
          <w:color w:val="000000"/>
        </w:rPr>
        <w:t>7</w:t>
      </w:r>
      <w:r w:rsidRPr="002D282F">
        <w:rPr>
          <w:b/>
          <w:bCs/>
          <w:color w:val="000000"/>
        </w:rPr>
        <w:t xml:space="preserve"> –</w:t>
      </w:r>
      <w:r w:rsidRPr="002D282F">
        <w:rPr>
          <w:color w:val="000000"/>
        </w:rPr>
        <w:t> (1)</w:t>
      </w:r>
      <w:r w:rsidRPr="002D282F">
        <w:t xml:space="preserve"> </w:t>
      </w:r>
      <w:r w:rsidR="00106EC1" w:rsidRPr="002D282F">
        <w:t xml:space="preserve">Satıcı, sağlayıcı ya da </w:t>
      </w:r>
      <w:r w:rsidR="007F7A56">
        <w:t xml:space="preserve">aracı </w:t>
      </w:r>
      <w:r w:rsidR="00106EC1" w:rsidRPr="002D282F">
        <w:t>hizmet sağlayıcılar</w:t>
      </w:r>
      <w:r w:rsidR="0041224A" w:rsidRPr="002D282F">
        <w:t>ın, değerlendirmenin</w:t>
      </w:r>
      <w:r w:rsidR="009B35D5">
        <w:t xml:space="preserve"> yayınlanmasına ilişkin</w:t>
      </w:r>
      <w:r w:rsidR="00106EC1" w:rsidRPr="002D282F">
        <w:t xml:space="preserve"> </w:t>
      </w:r>
      <w:r w:rsidR="0041224A" w:rsidRPr="002D282F">
        <w:t xml:space="preserve">işletecekleri </w:t>
      </w:r>
      <w:r w:rsidR="00106EC1" w:rsidRPr="002D282F">
        <w:t xml:space="preserve">kontrol </w:t>
      </w:r>
      <w:r w:rsidR="0041224A" w:rsidRPr="002D282F">
        <w:t>süre</w:t>
      </w:r>
      <w:r w:rsidR="00BF33B8">
        <w:t>ci</w:t>
      </w:r>
      <w:r w:rsidR="00106EC1" w:rsidRPr="002D282F">
        <w:t>,</w:t>
      </w:r>
      <w:r w:rsidR="009B35D5">
        <w:t xml:space="preserve"> </w:t>
      </w:r>
      <w:r w:rsidR="00106EC1" w:rsidRPr="002D282F">
        <w:t>tüketicilerin</w:t>
      </w:r>
      <w:r w:rsidR="008400F3">
        <w:t xml:space="preserve"> değerlendirme yapma</w:t>
      </w:r>
      <w:r w:rsidR="00106EC1" w:rsidRPr="002D282F">
        <w:t xml:space="preserve"> cesaretini kırmaması</w:t>
      </w:r>
      <w:r w:rsidR="009B35D5">
        <w:t xml:space="preserve"> veya zorlaştırmaması</w:t>
      </w:r>
      <w:r w:rsidR="00106EC1" w:rsidRPr="002D282F">
        <w:t xml:space="preserve"> </w:t>
      </w:r>
      <w:r w:rsidR="003E7F33">
        <w:t>bakımından</w:t>
      </w:r>
      <w:r w:rsidR="00106EC1" w:rsidRPr="002D282F">
        <w:t xml:space="preserve"> </w:t>
      </w:r>
      <w:r w:rsidR="00D16DD7" w:rsidRPr="002D282F">
        <w:t xml:space="preserve">makul ve </w:t>
      </w:r>
      <w:r w:rsidR="00106EC1" w:rsidRPr="002D282F">
        <w:t>orantılı olma</w:t>
      </w:r>
      <w:r w:rsidR="007F1AC1">
        <w:t>lıdır</w:t>
      </w:r>
      <w:r w:rsidR="00106EC1" w:rsidRPr="002D282F">
        <w:t>.</w:t>
      </w:r>
      <w:r w:rsidR="00F26DDB" w:rsidRPr="002D282F">
        <w:t xml:space="preserve"> </w:t>
      </w:r>
    </w:p>
    <w:p w14:paraId="24E522A2" w14:textId="77777777" w:rsidR="00005E00" w:rsidRPr="006E1BC5" w:rsidRDefault="00F26DDB" w:rsidP="002D282F">
      <w:pPr>
        <w:ind w:firstLine="709"/>
        <w:jc w:val="both"/>
      </w:pPr>
      <w:r w:rsidRPr="002D282F">
        <w:t>Örneğin, bir seyahat acentesi kendisinden hizmet satın almış bir tüketici</w:t>
      </w:r>
      <w:r w:rsidR="003506FD">
        <w:t>nin</w:t>
      </w:r>
      <w:r w:rsidRPr="002D282F">
        <w:t xml:space="preserve"> değerlendirmesini rezervasyon </w:t>
      </w:r>
      <w:r w:rsidRPr="006E1BC5">
        <w:t>numarasıyla kontrol edebilir.</w:t>
      </w:r>
    </w:p>
    <w:p w14:paraId="056E6CE8" w14:textId="77777777" w:rsidR="00D16DD7" w:rsidRPr="006E1BC5" w:rsidRDefault="00D16DD7" w:rsidP="002D282F">
      <w:pPr>
        <w:ind w:firstLine="709"/>
        <w:jc w:val="both"/>
      </w:pPr>
      <w:r w:rsidRPr="006E1BC5">
        <w:t xml:space="preserve">(2) </w:t>
      </w:r>
      <w:r w:rsidR="007F7A56" w:rsidRPr="006E1BC5">
        <w:t>Tüketici değerlendirmelerine ilişkin m</w:t>
      </w:r>
      <w:r w:rsidRPr="006E1BC5">
        <w:t xml:space="preserve">akul ve orantılı kontrol süreci </w:t>
      </w:r>
      <w:r w:rsidR="00E22317" w:rsidRPr="006E1BC5">
        <w:t>örnekleri içinde aşağıdaki uygulamalar sayılabilir</w:t>
      </w:r>
      <w:r w:rsidRPr="006E1BC5">
        <w:t>:</w:t>
      </w:r>
    </w:p>
    <w:p w14:paraId="7854C1C4" w14:textId="77777777" w:rsidR="00D16DD7" w:rsidRPr="002D282F" w:rsidRDefault="0041303C" w:rsidP="002D282F">
      <w:pPr>
        <w:ind w:firstLine="709"/>
        <w:jc w:val="both"/>
      </w:pPr>
      <w:r>
        <w:t>a</w:t>
      </w:r>
      <w:r w:rsidR="00D16DD7" w:rsidRPr="002D282F">
        <w:t>) Değerlendirme yapanın gerçekten bir tüketici olduğunu doğrulamak için IP adresi</w:t>
      </w:r>
      <w:r w:rsidR="00104C8C">
        <w:t>ni</w:t>
      </w:r>
      <w:r w:rsidR="00D16DD7" w:rsidRPr="002D282F">
        <w:t xml:space="preserve"> kontrol</w:t>
      </w:r>
      <w:r w:rsidR="00104C8C">
        <w:t xml:space="preserve"> etmek</w:t>
      </w:r>
      <w:r w:rsidR="00710FAA">
        <w:t xml:space="preserve"> veya</w:t>
      </w:r>
      <w:r w:rsidR="00D16DD7" w:rsidRPr="002D282F">
        <w:t xml:space="preserve"> e-posta ile doğrulama gibi teknik araçlar kullanmak.</w:t>
      </w:r>
    </w:p>
    <w:p w14:paraId="669A72F6" w14:textId="77777777" w:rsidR="00D16DD7" w:rsidRPr="002D282F" w:rsidRDefault="0041303C" w:rsidP="002D282F">
      <w:pPr>
        <w:ind w:firstLine="709"/>
        <w:jc w:val="both"/>
      </w:pPr>
      <w:r>
        <w:lastRenderedPageBreak/>
        <w:t>b</w:t>
      </w:r>
      <w:r w:rsidR="00D16DD7" w:rsidRPr="002D282F">
        <w:t>) Değerlendirme yapanlar</w:t>
      </w:r>
      <w:r w:rsidR="00710FAA">
        <w:t>a yönelik</w:t>
      </w:r>
      <w:r w:rsidR="00D16DD7" w:rsidRPr="002D282F">
        <w:t xml:space="preserve"> </w:t>
      </w:r>
      <w:r w:rsidR="00710FAA">
        <w:t>yanıltıcı veya</w:t>
      </w:r>
      <w:r w:rsidR="00D16DD7" w:rsidRPr="002D282F">
        <w:t xml:space="preserve"> gizli tutulan </w:t>
      </w:r>
      <w:r w:rsidR="0069774B">
        <w:t>reklam anlaşmaları kapsamındaki</w:t>
      </w:r>
      <w:r w:rsidR="00D16DD7" w:rsidRPr="002D282F">
        <w:t xml:space="preserve"> değerlendirmeleri yasaklayan net kurallar belirlemek.</w:t>
      </w:r>
    </w:p>
    <w:p w14:paraId="4E3943D3" w14:textId="77777777" w:rsidR="00D16DD7" w:rsidRPr="002D282F" w:rsidRDefault="0041303C" w:rsidP="002D282F">
      <w:pPr>
        <w:ind w:firstLine="709"/>
        <w:jc w:val="both"/>
      </w:pPr>
      <w:r>
        <w:t>c</w:t>
      </w:r>
      <w:r w:rsidR="00D16DD7" w:rsidRPr="002D282F">
        <w:t>) Dolandırıcılık faaliyetlerini otomatik olarak tespit etmek için araçlar kullanmak.</w:t>
      </w:r>
    </w:p>
    <w:p w14:paraId="05EBC42E" w14:textId="77777777" w:rsidR="00FA7DC2" w:rsidRDefault="0041303C" w:rsidP="002D282F">
      <w:pPr>
        <w:ind w:firstLine="709"/>
        <w:jc w:val="both"/>
      </w:pPr>
      <w:proofErr w:type="gramStart"/>
      <w:r>
        <w:t>ç</w:t>
      </w:r>
      <w:proofErr w:type="gramEnd"/>
      <w:r w:rsidR="00D16DD7" w:rsidRPr="002D282F">
        <w:t xml:space="preserve">) Şüpheli değerlendirmelerle ilgili </w:t>
      </w:r>
      <w:r w:rsidR="007B341F" w:rsidRPr="002D282F">
        <w:t>şikâyetlere</w:t>
      </w:r>
      <w:r w:rsidR="00D16DD7" w:rsidRPr="002D282F">
        <w:t xml:space="preserve"> yanıt vermek için yeterli önlemler</w:t>
      </w:r>
      <w:r w:rsidR="000B6FC7">
        <w:t xml:space="preserve">i almak </w:t>
      </w:r>
      <w:r w:rsidR="00D16DD7" w:rsidRPr="002D282F">
        <w:t>ve kaynaklar</w:t>
      </w:r>
      <w:r w:rsidR="000B6FC7">
        <w:t xml:space="preserve">ı geliştirmek. </w:t>
      </w:r>
    </w:p>
    <w:p w14:paraId="40D1D9F9" w14:textId="77777777" w:rsidR="00D16DD7" w:rsidRDefault="00164A42" w:rsidP="002D282F">
      <w:pPr>
        <w:ind w:firstLine="709"/>
        <w:jc w:val="both"/>
      </w:pPr>
      <w:r>
        <w:t>Örneğin</w:t>
      </w:r>
      <w:r w:rsidR="001F180F">
        <w:t>,</w:t>
      </w:r>
      <w:r w:rsidR="00FF02DE">
        <w:t xml:space="preserve"> </w:t>
      </w:r>
      <w:r>
        <w:t>yayınlanan t</w:t>
      </w:r>
      <w:r w:rsidRPr="00164A42">
        <w:t xml:space="preserve">üketici değerlendirmelerine güven oluşturmak </w:t>
      </w:r>
      <w:r w:rsidR="00DA0F38">
        <w:t>adına</w:t>
      </w:r>
      <w:r w:rsidRPr="00164A42">
        <w:t xml:space="preserve"> sahte değerlendirmelere hızlı ve etkili şekilde müdahale </w:t>
      </w:r>
      <w:r>
        <w:t xml:space="preserve">edecek teknik </w:t>
      </w:r>
      <w:r w:rsidR="00DA0F38">
        <w:t xml:space="preserve">altyapıyı </w:t>
      </w:r>
      <w:r>
        <w:t>ve personel kapasitesini geliştirmek.</w:t>
      </w:r>
    </w:p>
    <w:p w14:paraId="4DA40750" w14:textId="77777777" w:rsidR="00FD6A06" w:rsidRDefault="00FD6A06" w:rsidP="002D282F">
      <w:pPr>
        <w:ind w:firstLine="709"/>
        <w:jc w:val="both"/>
      </w:pPr>
      <w:r>
        <w:t>(</w:t>
      </w:r>
      <w:r w:rsidR="00336C91">
        <w:t>3</w:t>
      </w:r>
      <w:r>
        <w:t>) O</w:t>
      </w:r>
      <w:r w:rsidRPr="00FD6A06">
        <w:t xml:space="preserve">lumlu veya olumsuz olmasına bakılmaksızın tüm </w:t>
      </w:r>
      <w:r>
        <w:t>değerlendirme</w:t>
      </w:r>
      <w:r w:rsidRPr="00FD6A06">
        <w:t>ler,</w:t>
      </w:r>
      <w:r>
        <w:t xml:space="preserve"> </w:t>
      </w:r>
      <w:r w:rsidRPr="00FD6A06">
        <w:t xml:space="preserve">aynı </w:t>
      </w:r>
      <w:r>
        <w:t>kontrol</w:t>
      </w:r>
      <w:r w:rsidRPr="00FD6A06">
        <w:t xml:space="preserve"> sürecine ve zaman sınırlarına tabi olmalıdır.</w:t>
      </w:r>
    </w:p>
    <w:p w14:paraId="28B96A72" w14:textId="668DC452" w:rsidR="00886B66" w:rsidRPr="00886B66" w:rsidRDefault="00886B66" w:rsidP="002D282F">
      <w:pPr>
        <w:ind w:firstLine="709"/>
        <w:jc w:val="both"/>
        <w:rPr>
          <w:color w:val="FF0000"/>
        </w:rPr>
      </w:pPr>
      <w:r w:rsidRPr="00F548B7">
        <w:t>(4) Aracı hizmet sağlayıcılar tarafından yapılan kontrol süreci neticesinde herhangi bir nedenle faaliyeti sonlandırılan satıcı</w:t>
      </w:r>
      <w:r w:rsidR="00E53617">
        <w:t xml:space="preserve"> veya sağlayıcı</w:t>
      </w:r>
      <w:r w:rsidRPr="00F548B7">
        <w:t xml:space="preserve">lara ve bu kişiler tarafından satışa sunulan mal veya hizmetlere ilişkin yapılan değerlendirmeler silinebilir. </w:t>
      </w:r>
    </w:p>
    <w:p w14:paraId="6C355DD8" w14:textId="77777777" w:rsidR="00497517" w:rsidRDefault="00497517" w:rsidP="002D282F">
      <w:pPr>
        <w:ind w:firstLine="709"/>
        <w:jc w:val="both"/>
      </w:pPr>
    </w:p>
    <w:p w14:paraId="565E1DC8" w14:textId="77777777" w:rsidR="00272E6D" w:rsidRDefault="009B1788" w:rsidP="002D282F">
      <w:pPr>
        <w:ind w:firstLine="709"/>
        <w:jc w:val="both"/>
        <w:rPr>
          <w:b/>
        </w:rPr>
      </w:pPr>
      <w:r>
        <w:rPr>
          <w:b/>
        </w:rPr>
        <w:t>Yanıltıcı olduğu kabul edilen tüketici değerlendirmeleri</w:t>
      </w:r>
    </w:p>
    <w:p w14:paraId="73A9544D" w14:textId="77777777" w:rsidR="00E76C88" w:rsidRDefault="00272E6D" w:rsidP="002D282F">
      <w:pPr>
        <w:ind w:firstLine="709"/>
        <w:jc w:val="both"/>
      </w:pPr>
      <w:r>
        <w:rPr>
          <w:b/>
        </w:rPr>
        <w:t xml:space="preserve">MADDE </w:t>
      </w:r>
      <w:r w:rsidR="00104C8C">
        <w:rPr>
          <w:b/>
        </w:rPr>
        <w:t xml:space="preserve">8 </w:t>
      </w:r>
      <w:r w:rsidR="00104C8C" w:rsidRPr="002D282F">
        <w:rPr>
          <w:b/>
          <w:bCs/>
          <w:color w:val="000000"/>
        </w:rPr>
        <w:t>–</w:t>
      </w:r>
      <w:r w:rsidR="00104C8C" w:rsidRPr="00272E6D">
        <w:t xml:space="preserve"> </w:t>
      </w:r>
      <w:r w:rsidR="009B1788">
        <w:t>S</w:t>
      </w:r>
      <w:r w:rsidR="00223EF2" w:rsidRPr="00223EF2">
        <w:t>atıcı veya sağlayıcıya ait sosyal medya hesabı üzerinden yapılan paylaşımlara</w:t>
      </w:r>
      <w:r w:rsidR="00113248">
        <w:t xml:space="preserve"> yönelik</w:t>
      </w:r>
      <w:r w:rsidR="00223EF2" w:rsidRPr="00223EF2">
        <w:t xml:space="preserve"> bir menfaat karşılığında yapılan beğeni veya onay belirten sembol ve ifadeler</w:t>
      </w:r>
      <w:r w:rsidR="00113248">
        <w:t>,</w:t>
      </w:r>
      <w:r w:rsidR="00223EF2" w:rsidRPr="00223EF2">
        <w:t xml:space="preserve"> </w:t>
      </w:r>
      <w:r w:rsidR="00B64B35" w:rsidRPr="00B64B35">
        <w:t xml:space="preserve">dürüst ve </w:t>
      </w:r>
      <w:r w:rsidR="000A0E70">
        <w:t>objektif</w:t>
      </w:r>
      <w:r w:rsidR="00B64B35" w:rsidRPr="00B64B35">
        <w:t xml:space="preserve"> </w:t>
      </w:r>
      <w:r w:rsidR="00B64B35">
        <w:t xml:space="preserve">olmayacağı için </w:t>
      </w:r>
      <w:r w:rsidR="00223EF2">
        <w:t>yanıltıcı</w:t>
      </w:r>
      <w:r w:rsidR="00223EF2" w:rsidRPr="00223EF2">
        <w:t xml:space="preserve"> tüketici değerlendirmesi </w:t>
      </w:r>
      <w:r w:rsidR="00223EF2">
        <w:t>olarak kabul edilir ve yayınlanma</w:t>
      </w:r>
      <w:r w:rsidR="00104C8C">
        <w:t>z</w:t>
      </w:r>
      <w:r w:rsidR="00223EF2">
        <w:t>.</w:t>
      </w:r>
    </w:p>
    <w:p w14:paraId="4213F539" w14:textId="77777777" w:rsidR="00104C8C" w:rsidRDefault="00E76C88" w:rsidP="002D282F">
      <w:pPr>
        <w:ind w:firstLine="709"/>
        <w:jc w:val="both"/>
      </w:pPr>
      <w:r w:rsidRPr="00E76C88">
        <w:t>(</w:t>
      </w:r>
      <w:r w:rsidR="00170893">
        <w:t>2</w:t>
      </w:r>
      <w:r w:rsidRPr="00E76C88">
        <w:t xml:space="preserve">) </w:t>
      </w:r>
      <w:r w:rsidR="00113248">
        <w:t>Farklı bir satıcı veya sağlayıcı ya da satın aldığından farklı bir mal veya hizmete yönelik değerlendirmeler</w:t>
      </w:r>
      <w:r w:rsidRPr="00E76C88">
        <w:t xml:space="preserve"> </w:t>
      </w:r>
      <w:r w:rsidR="00113248">
        <w:t>yanıltıcı olarak kabul edilir ve</w:t>
      </w:r>
      <w:r w:rsidR="00113248" w:rsidRPr="00E76C88">
        <w:t xml:space="preserve"> yayınlan</w:t>
      </w:r>
      <w:r w:rsidR="00113248">
        <w:t>maz.</w:t>
      </w:r>
    </w:p>
    <w:p w14:paraId="12B3713D" w14:textId="77777777" w:rsidR="00223EF2" w:rsidRPr="00B64B35" w:rsidRDefault="00E76C88" w:rsidP="002D282F">
      <w:pPr>
        <w:ind w:firstLine="709"/>
        <w:jc w:val="both"/>
        <w:rPr>
          <w:bCs/>
          <w:color w:val="000000"/>
        </w:rPr>
      </w:pPr>
      <w:r w:rsidRPr="00E76C88">
        <w:t xml:space="preserve">Örneğin, </w:t>
      </w:r>
      <w:r w:rsidR="00104C8C">
        <w:t>bir</w:t>
      </w:r>
      <w:r>
        <w:t xml:space="preserve"> </w:t>
      </w:r>
      <w:r w:rsidRPr="00E76C88">
        <w:t>restorandan sadece bir içecek satın alan tüketicinin</w:t>
      </w:r>
      <w:r>
        <w:t xml:space="preserve"> </w:t>
      </w:r>
      <w:r w:rsidRPr="00E76C88">
        <w:t>“</w:t>
      </w:r>
      <w:r w:rsidRPr="00E76C88">
        <w:rPr>
          <w:i/>
        </w:rPr>
        <w:t>Köfte menü harikaydı/Hamburgerler çok lezzetliydi.</w:t>
      </w:r>
      <w:r w:rsidRPr="009B2B03">
        <w:t>”</w:t>
      </w:r>
      <w:r w:rsidRPr="00E76C88">
        <w:t xml:space="preserve"> şeklinde bir değerlendirme yaptığı tespit edildiği takdirde bu </w:t>
      </w:r>
      <w:r w:rsidRPr="00B64B35">
        <w:rPr>
          <w:bCs/>
          <w:color w:val="000000"/>
        </w:rPr>
        <w:t>değerlendirme yayınlan</w:t>
      </w:r>
      <w:r w:rsidR="00104C8C">
        <w:rPr>
          <w:bCs/>
          <w:color w:val="000000"/>
        </w:rPr>
        <w:t>amaz</w:t>
      </w:r>
      <w:r w:rsidRPr="00B64B35">
        <w:rPr>
          <w:bCs/>
          <w:color w:val="000000"/>
        </w:rPr>
        <w:t xml:space="preserve">. </w:t>
      </w:r>
      <w:r w:rsidR="00223EF2" w:rsidRPr="00B64B35">
        <w:rPr>
          <w:bCs/>
          <w:color w:val="000000"/>
        </w:rPr>
        <w:t xml:space="preserve"> </w:t>
      </w:r>
    </w:p>
    <w:p w14:paraId="090BE95C" w14:textId="77777777" w:rsidR="007219AA" w:rsidRDefault="00B64B35" w:rsidP="002D282F">
      <w:pPr>
        <w:ind w:firstLine="709"/>
        <w:jc w:val="both"/>
        <w:rPr>
          <w:bCs/>
          <w:color w:val="000000"/>
        </w:rPr>
      </w:pPr>
      <w:r>
        <w:rPr>
          <w:bCs/>
          <w:color w:val="000000"/>
        </w:rPr>
        <w:t>(</w:t>
      </w:r>
      <w:r w:rsidR="00170893">
        <w:rPr>
          <w:bCs/>
          <w:color w:val="000000"/>
        </w:rPr>
        <w:t>3</w:t>
      </w:r>
      <w:r>
        <w:rPr>
          <w:bCs/>
          <w:color w:val="000000"/>
        </w:rPr>
        <w:t xml:space="preserve">) Satıcı ya da </w:t>
      </w:r>
      <w:r w:rsidRPr="00B64B35">
        <w:rPr>
          <w:bCs/>
          <w:color w:val="000000"/>
        </w:rPr>
        <w:t>sağlayıcılar</w:t>
      </w:r>
      <w:r w:rsidR="007219AA">
        <w:rPr>
          <w:bCs/>
          <w:color w:val="000000"/>
        </w:rPr>
        <w:t>a</w:t>
      </w:r>
      <w:r w:rsidRPr="00B64B35">
        <w:rPr>
          <w:bCs/>
          <w:color w:val="000000"/>
        </w:rPr>
        <w:t xml:space="preserve"> fayda sağlamak üzere</w:t>
      </w:r>
      <w:r w:rsidRPr="00175036">
        <w:rPr>
          <w:bCs/>
          <w:color w:val="000000"/>
        </w:rPr>
        <w:t xml:space="preserve"> </w:t>
      </w:r>
      <w:r w:rsidRPr="00A5734C">
        <w:rPr>
          <w:bCs/>
          <w:color w:val="000000"/>
        </w:rPr>
        <w:t xml:space="preserve">belirli bir </w:t>
      </w:r>
      <w:r w:rsidR="003245D6">
        <w:rPr>
          <w:bCs/>
          <w:color w:val="000000"/>
        </w:rPr>
        <w:t xml:space="preserve">menfaat </w:t>
      </w:r>
      <w:r w:rsidRPr="00A5734C">
        <w:rPr>
          <w:bCs/>
          <w:color w:val="000000"/>
        </w:rPr>
        <w:t>karşılığında</w:t>
      </w:r>
      <w:r>
        <w:rPr>
          <w:bCs/>
          <w:color w:val="000000"/>
        </w:rPr>
        <w:t>,</w:t>
      </w:r>
      <w:r w:rsidRPr="00175036">
        <w:rPr>
          <w:bCs/>
          <w:color w:val="000000"/>
        </w:rPr>
        <w:t xml:space="preserve"> olumlu </w:t>
      </w:r>
      <w:r>
        <w:rPr>
          <w:bCs/>
          <w:color w:val="000000"/>
        </w:rPr>
        <w:t>tüketici değerlendirme</w:t>
      </w:r>
      <w:r w:rsidRPr="00175036">
        <w:rPr>
          <w:bCs/>
          <w:color w:val="000000"/>
        </w:rPr>
        <w:t>lerin</w:t>
      </w:r>
      <w:r>
        <w:rPr>
          <w:bCs/>
          <w:color w:val="000000"/>
        </w:rPr>
        <w:t>in</w:t>
      </w:r>
      <w:r w:rsidRPr="00175036">
        <w:rPr>
          <w:bCs/>
          <w:color w:val="000000"/>
        </w:rPr>
        <w:t xml:space="preserve"> görünürlüğünü</w:t>
      </w:r>
      <w:r w:rsidR="005B7B9C">
        <w:rPr>
          <w:bCs/>
          <w:color w:val="000000"/>
        </w:rPr>
        <w:t>n</w:t>
      </w:r>
      <w:r w:rsidRPr="00175036">
        <w:rPr>
          <w:bCs/>
          <w:color w:val="000000"/>
        </w:rPr>
        <w:t xml:space="preserve"> artır</w:t>
      </w:r>
      <w:r w:rsidR="005B7B9C">
        <w:rPr>
          <w:bCs/>
          <w:color w:val="000000"/>
        </w:rPr>
        <w:t>ılmasına</w:t>
      </w:r>
      <w:r w:rsidRPr="00175036">
        <w:rPr>
          <w:bCs/>
          <w:color w:val="000000"/>
        </w:rPr>
        <w:t xml:space="preserve"> veya </w:t>
      </w:r>
      <w:r w:rsidR="005B7B9C">
        <w:rPr>
          <w:bCs/>
          <w:color w:val="000000"/>
        </w:rPr>
        <w:t>değerlendirmelerin objektif sıralama sonuçlarının değiştirilmesine</w:t>
      </w:r>
      <w:r w:rsidRPr="00175036">
        <w:rPr>
          <w:bCs/>
          <w:color w:val="000000"/>
        </w:rPr>
        <w:t xml:space="preserve"> yönelik eylemler</w:t>
      </w:r>
      <w:r>
        <w:rPr>
          <w:bCs/>
          <w:color w:val="000000"/>
        </w:rPr>
        <w:t>de bulunulamaz</w:t>
      </w:r>
      <w:r w:rsidRPr="00175036">
        <w:rPr>
          <w:bCs/>
          <w:color w:val="000000"/>
        </w:rPr>
        <w:t>.</w:t>
      </w:r>
      <w:r>
        <w:rPr>
          <w:bCs/>
          <w:color w:val="000000"/>
        </w:rPr>
        <w:t xml:space="preserve"> </w:t>
      </w:r>
    </w:p>
    <w:p w14:paraId="29042ABE" w14:textId="77777777" w:rsidR="00140CFB" w:rsidRDefault="00140CFB" w:rsidP="000B688E">
      <w:pPr>
        <w:ind w:firstLine="709"/>
        <w:jc w:val="both"/>
        <w:rPr>
          <w:bCs/>
          <w:color w:val="000000"/>
        </w:rPr>
      </w:pPr>
      <w:r w:rsidRPr="00140CFB">
        <w:rPr>
          <w:bCs/>
          <w:color w:val="000000"/>
        </w:rPr>
        <w:t>Örneğin, bir platformda faaliyet gösteren satıcıyla</w:t>
      </w:r>
      <w:r>
        <w:rPr>
          <w:bCs/>
          <w:color w:val="000000"/>
        </w:rPr>
        <w:t xml:space="preserve"> </w:t>
      </w:r>
      <w:r w:rsidRPr="00140CFB">
        <w:rPr>
          <w:bCs/>
          <w:color w:val="000000"/>
        </w:rPr>
        <w:t xml:space="preserve">anlaşan </w:t>
      </w:r>
      <w:r>
        <w:rPr>
          <w:bCs/>
          <w:color w:val="000000"/>
        </w:rPr>
        <w:t>gerçek veya tüzel kişiler</w:t>
      </w:r>
      <w:r w:rsidRPr="00140CFB">
        <w:rPr>
          <w:bCs/>
          <w:color w:val="000000"/>
        </w:rPr>
        <w:t xml:space="preserve"> tarafından, satıcının bilgisi dahilinde salt olumlu yorum yapmak amacıyla</w:t>
      </w:r>
      <w:r w:rsidRPr="00140CFB">
        <w:t xml:space="preserve"> </w:t>
      </w:r>
      <w:r w:rsidRPr="00140CFB">
        <w:rPr>
          <w:bCs/>
          <w:color w:val="000000"/>
        </w:rPr>
        <w:t xml:space="preserve">muvazaalı olarak çok sayıda mal satın alınmasını müteakip olumlu yorumlarda bulunulması ve yorumların yayınlanmasından sonra yasal süresi olan 14 gün içinde satın alınan malların iade edilmesi haksız ticari uygulama olarak kabul edilecektir. </w:t>
      </w:r>
    </w:p>
    <w:p w14:paraId="1FE876F8" w14:textId="77777777" w:rsidR="000B688E" w:rsidRDefault="000B688E" w:rsidP="000B688E">
      <w:pPr>
        <w:ind w:firstLine="709"/>
        <w:jc w:val="both"/>
        <w:rPr>
          <w:bCs/>
          <w:color w:val="000000"/>
        </w:rPr>
      </w:pPr>
      <w:r>
        <w:rPr>
          <w:bCs/>
          <w:color w:val="000000"/>
        </w:rPr>
        <w:t>(</w:t>
      </w:r>
      <w:r w:rsidR="00170893">
        <w:rPr>
          <w:bCs/>
          <w:color w:val="000000"/>
        </w:rPr>
        <w:t>4</w:t>
      </w:r>
      <w:r>
        <w:rPr>
          <w:bCs/>
          <w:color w:val="000000"/>
        </w:rPr>
        <w:t>) T</w:t>
      </w:r>
      <w:r w:rsidRPr="00A5734C">
        <w:rPr>
          <w:bCs/>
          <w:color w:val="000000"/>
        </w:rPr>
        <w:t>üketici değerlendirmelerinin toplanması, işlenmesi ve diğer</w:t>
      </w:r>
      <w:r w:rsidR="00C43C14">
        <w:rPr>
          <w:bCs/>
          <w:color w:val="000000"/>
        </w:rPr>
        <w:t xml:space="preserve"> internet siteleri ile </w:t>
      </w:r>
      <w:r w:rsidR="00C43C14" w:rsidRPr="006E1BC5">
        <w:rPr>
          <w:bCs/>
        </w:rPr>
        <w:t>bağlantı kurul</w:t>
      </w:r>
      <w:r w:rsidRPr="006E1BC5">
        <w:rPr>
          <w:bCs/>
        </w:rPr>
        <w:t>ması sürecine müdahalede bulunularak olumsuz değerlendirmelerin yayınla</w:t>
      </w:r>
      <w:r w:rsidR="00714DB6" w:rsidRPr="006E1BC5">
        <w:rPr>
          <w:bCs/>
        </w:rPr>
        <w:t>n</w:t>
      </w:r>
      <w:r w:rsidRPr="006E1BC5">
        <w:rPr>
          <w:bCs/>
        </w:rPr>
        <w:t>masının önüne geçil</w:t>
      </w:r>
      <w:r w:rsidR="00532449" w:rsidRPr="006E1BC5">
        <w:rPr>
          <w:bCs/>
        </w:rPr>
        <w:t>emez</w:t>
      </w:r>
      <w:r w:rsidRPr="006E1BC5">
        <w:rPr>
          <w:bCs/>
        </w:rPr>
        <w:t>, ilgili veriler manipüle edilerek arama motorları üzerinden işletmelerin görünürlüğü yanıltıcı bir biçimde arttırıl</w:t>
      </w:r>
      <w:r w:rsidR="00532449" w:rsidRPr="006E1BC5">
        <w:rPr>
          <w:bCs/>
        </w:rPr>
        <w:t>amaz</w:t>
      </w:r>
      <w:r w:rsidRPr="006E1BC5">
        <w:rPr>
          <w:bCs/>
        </w:rPr>
        <w:t xml:space="preserve">, mal veya hizmet satın almayan kişiler değerlendirme yapmaya veya </w:t>
      </w:r>
      <w:r>
        <w:rPr>
          <w:bCs/>
          <w:color w:val="000000"/>
        </w:rPr>
        <w:t xml:space="preserve">onay belirten semboller kullanmaya </w:t>
      </w:r>
      <w:r w:rsidRPr="00A5734C">
        <w:rPr>
          <w:bCs/>
          <w:color w:val="000000"/>
        </w:rPr>
        <w:t>yönlendiril</w:t>
      </w:r>
      <w:r w:rsidR="00532449">
        <w:rPr>
          <w:bCs/>
          <w:color w:val="000000"/>
        </w:rPr>
        <w:t>emez</w:t>
      </w:r>
      <w:r w:rsidRPr="00A5734C">
        <w:rPr>
          <w:bCs/>
          <w:color w:val="000000"/>
        </w:rPr>
        <w:t xml:space="preserve"> ve bu </w:t>
      </w:r>
      <w:r>
        <w:rPr>
          <w:bCs/>
          <w:color w:val="000000"/>
        </w:rPr>
        <w:t xml:space="preserve">değerlendirmeler </w:t>
      </w:r>
      <w:r w:rsidR="00532449">
        <w:rPr>
          <w:bCs/>
          <w:color w:val="000000"/>
        </w:rPr>
        <w:t>farklı</w:t>
      </w:r>
      <w:r w:rsidRPr="00A5734C">
        <w:rPr>
          <w:bCs/>
          <w:color w:val="000000"/>
        </w:rPr>
        <w:t xml:space="preserve"> mecralarda yayınlatıl</w:t>
      </w:r>
      <w:r w:rsidR="00532449">
        <w:rPr>
          <w:bCs/>
          <w:color w:val="000000"/>
        </w:rPr>
        <w:t>amaz</w:t>
      </w:r>
      <w:r>
        <w:rPr>
          <w:bCs/>
          <w:color w:val="000000"/>
        </w:rPr>
        <w:t>.</w:t>
      </w:r>
    </w:p>
    <w:p w14:paraId="3428C78F" w14:textId="77777777" w:rsidR="001F180F" w:rsidRDefault="00E76C88" w:rsidP="001F180F">
      <w:pPr>
        <w:ind w:firstLine="709"/>
        <w:jc w:val="both"/>
        <w:rPr>
          <w:color w:val="000000"/>
        </w:rPr>
      </w:pPr>
      <w:r>
        <w:rPr>
          <w:color w:val="000000"/>
        </w:rPr>
        <w:t>(</w:t>
      </w:r>
      <w:r w:rsidR="00170893">
        <w:rPr>
          <w:color w:val="000000"/>
        </w:rPr>
        <w:t>5</w:t>
      </w:r>
      <w:r w:rsidRPr="002D282F">
        <w:rPr>
          <w:color w:val="000000"/>
        </w:rPr>
        <w:t xml:space="preserve">) </w:t>
      </w:r>
      <w:r w:rsidRPr="002D282F">
        <w:t xml:space="preserve">Satıcı, sağlayıcı ya da </w:t>
      </w:r>
      <w:r>
        <w:t xml:space="preserve">aracı </w:t>
      </w:r>
      <w:r w:rsidRPr="002D282F">
        <w:t>hizmet sağlayıcıların</w:t>
      </w:r>
      <w:r w:rsidRPr="002D282F">
        <w:rPr>
          <w:color w:val="000000"/>
        </w:rPr>
        <w:t xml:space="preserve"> tüketici değerlendirmelerini manipüle </w:t>
      </w:r>
      <w:r w:rsidRPr="003E7F33">
        <w:rPr>
          <w:color w:val="000000"/>
        </w:rPr>
        <w:t xml:space="preserve">edebilecek uygulamalardan kaçınmaları gerekir. </w:t>
      </w:r>
      <w:r w:rsidR="001F180F" w:rsidRPr="001F180F">
        <w:rPr>
          <w:color w:val="000000"/>
        </w:rPr>
        <w:t>Manipüle edici uygulamalara aşağıdaki örnekler verilebilir:</w:t>
      </w:r>
    </w:p>
    <w:p w14:paraId="1B7C8D05" w14:textId="77777777" w:rsidR="00E76C88" w:rsidRPr="002D282F" w:rsidRDefault="00E76C88" w:rsidP="001F180F">
      <w:pPr>
        <w:ind w:firstLine="709"/>
        <w:jc w:val="both"/>
        <w:rPr>
          <w:color w:val="000000"/>
        </w:rPr>
      </w:pPr>
      <w:r w:rsidRPr="003E7F33">
        <w:rPr>
          <w:color w:val="000000"/>
        </w:rPr>
        <w:t>a) Sadece olumlu değerlendirmeleri yayınlamak</w:t>
      </w:r>
      <w:r w:rsidRPr="002D282F">
        <w:rPr>
          <w:color w:val="000000"/>
        </w:rPr>
        <w:t xml:space="preserve"> ve olumsuz olanları </w:t>
      </w:r>
      <w:r>
        <w:rPr>
          <w:color w:val="000000"/>
        </w:rPr>
        <w:t>yayınlamamak</w:t>
      </w:r>
      <w:r w:rsidR="00AE193D">
        <w:rPr>
          <w:color w:val="000000"/>
        </w:rPr>
        <w:t>.</w:t>
      </w:r>
    </w:p>
    <w:p w14:paraId="143ACB04" w14:textId="77777777" w:rsidR="00E76C88" w:rsidRPr="002D282F" w:rsidRDefault="00E76C88" w:rsidP="00E76C88">
      <w:pPr>
        <w:ind w:firstLine="709"/>
        <w:rPr>
          <w:color w:val="000000"/>
        </w:rPr>
      </w:pPr>
      <w:r w:rsidRPr="002D282F">
        <w:rPr>
          <w:color w:val="000000"/>
        </w:rPr>
        <w:t>b) Tüketicilere önceden doldurulmuş olumlu değerlendirme şablonu sağlamak</w:t>
      </w:r>
      <w:r w:rsidR="00AE193D">
        <w:rPr>
          <w:color w:val="000000"/>
        </w:rPr>
        <w:t>.</w:t>
      </w:r>
    </w:p>
    <w:p w14:paraId="2E8B15E5" w14:textId="77777777" w:rsidR="00E76C88" w:rsidRPr="002D282F" w:rsidRDefault="00E76C88" w:rsidP="00E76C88">
      <w:pPr>
        <w:ind w:firstLine="709"/>
        <w:jc w:val="both"/>
        <w:rPr>
          <w:color w:val="000000"/>
        </w:rPr>
      </w:pPr>
      <w:r w:rsidRPr="002D282F">
        <w:rPr>
          <w:color w:val="000000"/>
        </w:rPr>
        <w:t>c) Tüketicileri değerlendirmelerini değiştirmeye veya olumsuz değerlendirmelerini geri çekmeye teşvik etmek için kontrol sürecinde tüketicilerle iletişim kurmak</w:t>
      </w:r>
      <w:r w:rsidR="00AE193D">
        <w:rPr>
          <w:color w:val="000000"/>
        </w:rPr>
        <w:t>.</w:t>
      </w:r>
    </w:p>
    <w:p w14:paraId="28D3C9EF" w14:textId="77777777" w:rsidR="00E76C88" w:rsidRDefault="00E76C88" w:rsidP="00E76C88">
      <w:pPr>
        <w:ind w:firstLine="709"/>
        <w:jc w:val="both"/>
        <w:rPr>
          <w:color w:val="000000"/>
        </w:rPr>
      </w:pPr>
      <w:proofErr w:type="gramStart"/>
      <w:r w:rsidRPr="002D282F">
        <w:rPr>
          <w:color w:val="000000"/>
        </w:rPr>
        <w:t>ç</w:t>
      </w:r>
      <w:proofErr w:type="gramEnd"/>
      <w:r w:rsidRPr="002D282F">
        <w:rPr>
          <w:color w:val="000000"/>
        </w:rPr>
        <w:t>)</w:t>
      </w:r>
      <w:r w:rsidR="00AE193D">
        <w:rPr>
          <w:color w:val="000000"/>
        </w:rPr>
        <w:t xml:space="preserve"> </w:t>
      </w:r>
      <w:r w:rsidRPr="002D282F">
        <w:rPr>
          <w:color w:val="000000"/>
        </w:rPr>
        <w:t xml:space="preserve">Açıklanmayan </w:t>
      </w:r>
      <w:r w:rsidR="00AE193D">
        <w:rPr>
          <w:color w:val="000000"/>
        </w:rPr>
        <w:t>ya da</w:t>
      </w:r>
      <w:r w:rsidRPr="002D282F">
        <w:rPr>
          <w:color w:val="000000"/>
        </w:rPr>
        <w:t xml:space="preserve"> şeffaf olmayan ölçütler temelinde </w:t>
      </w:r>
      <w:r>
        <w:rPr>
          <w:color w:val="000000"/>
        </w:rPr>
        <w:t>oluşturulmuş</w:t>
      </w:r>
      <w:r w:rsidRPr="002D282F">
        <w:rPr>
          <w:color w:val="000000"/>
        </w:rPr>
        <w:t xml:space="preserve"> değerlendirme </w:t>
      </w:r>
      <w:r>
        <w:rPr>
          <w:color w:val="000000"/>
        </w:rPr>
        <w:t>puanlamaları</w:t>
      </w:r>
      <w:r w:rsidRPr="002D282F">
        <w:rPr>
          <w:color w:val="000000"/>
        </w:rPr>
        <w:t xml:space="preserve"> sunmak.</w:t>
      </w:r>
    </w:p>
    <w:p w14:paraId="5FF6A433" w14:textId="77777777" w:rsidR="00FA7DC2" w:rsidRDefault="001449A5" w:rsidP="00E76C88">
      <w:pPr>
        <w:ind w:firstLine="709"/>
        <w:jc w:val="both"/>
      </w:pPr>
      <w:r>
        <w:rPr>
          <w:color w:val="000000"/>
        </w:rPr>
        <w:t>d)</w:t>
      </w:r>
      <w:r w:rsidRPr="001449A5">
        <w:t xml:space="preserve"> </w:t>
      </w:r>
      <w:r>
        <w:t>Tüketicileri</w:t>
      </w:r>
      <w:r w:rsidR="00E673FF">
        <w:t>n</w:t>
      </w:r>
      <w:r>
        <w:t xml:space="preserve"> bir mal veya hizmetin yalnızca bir yönüyle değerlendirme yapabilmesini sağlamak. </w:t>
      </w:r>
    </w:p>
    <w:p w14:paraId="14061238" w14:textId="77777777" w:rsidR="001449A5" w:rsidRDefault="001449A5" w:rsidP="00E76C88">
      <w:pPr>
        <w:ind w:firstLine="709"/>
        <w:jc w:val="both"/>
        <w:rPr>
          <w:color w:val="000000"/>
        </w:rPr>
      </w:pPr>
      <w:r>
        <w:lastRenderedPageBreak/>
        <w:t xml:space="preserve">Örneğin, </w:t>
      </w:r>
      <w:r w:rsidR="00E673FF">
        <w:t xml:space="preserve">tüketicinin sadece </w:t>
      </w:r>
      <w:r w:rsidR="008F1D90">
        <w:t xml:space="preserve">bir restoranın teslim ettiği yemek hakkında </w:t>
      </w:r>
      <w:r w:rsidRPr="001449A5">
        <w:rPr>
          <w:color w:val="000000"/>
        </w:rPr>
        <w:t>yorum yap</w:t>
      </w:r>
      <w:r w:rsidR="008F1D90">
        <w:rPr>
          <w:color w:val="000000"/>
        </w:rPr>
        <w:t>ması zorunlu kılınamaz.</w:t>
      </w:r>
      <w:r w:rsidR="00E673FF">
        <w:rPr>
          <w:color w:val="000000"/>
        </w:rPr>
        <w:t xml:space="preserve"> Tüketici teslimat, fiyat ve benzeri konulara ilişkin de yorum yapabilmelidir.</w:t>
      </w:r>
    </w:p>
    <w:p w14:paraId="47F5B214" w14:textId="77777777" w:rsidR="00011D69" w:rsidRDefault="00456A1A" w:rsidP="00E76C88">
      <w:pPr>
        <w:ind w:firstLine="709"/>
        <w:jc w:val="both"/>
        <w:rPr>
          <w:color w:val="000000"/>
        </w:rPr>
      </w:pPr>
      <w:r w:rsidRPr="003C6F8E">
        <w:rPr>
          <w:color w:val="000000"/>
        </w:rPr>
        <w:t>e)</w:t>
      </w:r>
      <w:r w:rsidR="00011D69" w:rsidRPr="003C6F8E">
        <w:rPr>
          <w:color w:val="000000"/>
        </w:rPr>
        <w:t xml:space="preserve"> </w:t>
      </w:r>
      <w:r w:rsidRPr="003C6F8E">
        <w:rPr>
          <w:color w:val="000000"/>
        </w:rPr>
        <w:t>T</w:t>
      </w:r>
      <w:r w:rsidR="00011D69" w:rsidRPr="003C6F8E">
        <w:rPr>
          <w:color w:val="000000"/>
        </w:rPr>
        <w:t xml:space="preserve">üketicilere sadece olumlu yorum yapmalarını teşvik etmek amacıyla hediye çeki, indirim </w:t>
      </w:r>
      <w:r w:rsidR="00AC3B83" w:rsidRPr="003C6F8E">
        <w:rPr>
          <w:color w:val="000000"/>
        </w:rPr>
        <w:t>imkânı</w:t>
      </w:r>
      <w:r w:rsidRPr="003C6F8E">
        <w:rPr>
          <w:color w:val="000000"/>
        </w:rPr>
        <w:t xml:space="preserve"> gibi fırsatlar sunmak</w:t>
      </w:r>
      <w:r>
        <w:rPr>
          <w:color w:val="000000"/>
        </w:rPr>
        <w:t>.</w:t>
      </w:r>
    </w:p>
    <w:p w14:paraId="37BD8AE6" w14:textId="63B2B2F1" w:rsidR="00581799" w:rsidRDefault="00581799" w:rsidP="00581799">
      <w:pPr>
        <w:ind w:firstLine="709"/>
        <w:jc w:val="both"/>
        <w:rPr>
          <w:color w:val="000000"/>
        </w:rPr>
      </w:pPr>
      <w:r>
        <w:rPr>
          <w:color w:val="000000"/>
        </w:rPr>
        <w:t xml:space="preserve">f) </w:t>
      </w:r>
      <w:r w:rsidRPr="001C345E">
        <w:rPr>
          <w:color w:val="000000"/>
        </w:rPr>
        <w:t>Değerlendirmelerin</w:t>
      </w:r>
      <w:r>
        <w:rPr>
          <w:color w:val="000000"/>
        </w:rPr>
        <w:t xml:space="preserve"> yapılmasında</w:t>
      </w:r>
      <w:r w:rsidRPr="001C345E">
        <w:rPr>
          <w:color w:val="000000"/>
        </w:rPr>
        <w:t xml:space="preserve"> olumlu veya olumsuz seçenekleri</w:t>
      </w:r>
      <w:r>
        <w:rPr>
          <w:color w:val="000000"/>
        </w:rPr>
        <w:t xml:space="preserve">nin birlikte sunulması halinde </w:t>
      </w:r>
      <w:r w:rsidRPr="001C345E">
        <w:rPr>
          <w:color w:val="000000"/>
        </w:rPr>
        <w:t>olumlu değerlendirmeler lehine olacak şekilde kullanılan ifadeleri açık veya anlaşılır</w:t>
      </w:r>
      <w:r w:rsidR="00AC3B83">
        <w:rPr>
          <w:color w:val="000000"/>
        </w:rPr>
        <w:t xml:space="preserve"> şekilde belirlememek</w:t>
      </w:r>
      <w:r w:rsidRPr="001C345E">
        <w:rPr>
          <w:color w:val="000000"/>
        </w:rPr>
        <w:t xml:space="preserve"> ya da ticari </w:t>
      </w:r>
      <w:r w:rsidRPr="00915553">
        <w:t>tasarımı</w:t>
      </w:r>
      <w:r w:rsidRPr="001C345E">
        <w:rPr>
          <w:color w:val="000000"/>
        </w:rPr>
        <w:t xml:space="preserve"> karanlık ticari uygulama ihtiva edecek şekilde </w:t>
      </w:r>
      <w:r>
        <w:rPr>
          <w:color w:val="000000"/>
        </w:rPr>
        <w:t>tasarla</w:t>
      </w:r>
      <w:r w:rsidR="00AC3B83">
        <w:rPr>
          <w:color w:val="000000"/>
        </w:rPr>
        <w:t>yarak</w:t>
      </w:r>
      <w:r w:rsidRPr="001C345E">
        <w:rPr>
          <w:color w:val="000000"/>
        </w:rPr>
        <w:t xml:space="preserve"> tüketicileri olumlu değerlendirme yapmaya yönlendir</w:t>
      </w:r>
      <w:r w:rsidR="00AC3B83">
        <w:rPr>
          <w:color w:val="000000"/>
        </w:rPr>
        <w:t>mek,</w:t>
      </w:r>
    </w:p>
    <w:p w14:paraId="7D866707" w14:textId="77777777" w:rsidR="00581799" w:rsidRPr="002D282F" w:rsidRDefault="00581799" w:rsidP="00581799">
      <w:pPr>
        <w:ind w:firstLine="709"/>
        <w:jc w:val="both"/>
        <w:rPr>
          <w:color w:val="000000"/>
        </w:rPr>
      </w:pPr>
      <w:r>
        <w:rPr>
          <w:color w:val="000000"/>
        </w:rPr>
        <w:t xml:space="preserve">g) </w:t>
      </w:r>
      <w:r w:rsidR="00AC3B83">
        <w:rPr>
          <w:color w:val="000000"/>
        </w:rPr>
        <w:t>O</w:t>
      </w:r>
      <w:r w:rsidRPr="001C345E">
        <w:rPr>
          <w:color w:val="000000"/>
        </w:rPr>
        <w:t>lumsuz değerlendirme yapılmasına ilişkin işlem ve süreçler</w:t>
      </w:r>
      <w:r>
        <w:rPr>
          <w:color w:val="000000"/>
        </w:rPr>
        <w:t>de</w:t>
      </w:r>
      <w:r w:rsidRPr="001C345E">
        <w:rPr>
          <w:color w:val="000000"/>
        </w:rPr>
        <w:t xml:space="preserve"> olumlu değerlendirmeye nazaran tüketicilere </w:t>
      </w:r>
      <w:r>
        <w:rPr>
          <w:color w:val="000000"/>
        </w:rPr>
        <w:t>zorluk çıkart</w:t>
      </w:r>
      <w:r w:rsidR="00AC3B83">
        <w:rPr>
          <w:color w:val="000000"/>
        </w:rPr>
        <w:t xml:space="preserve">mak </w:t>
      </w:r>
      <w:r>
        <w:rPr>
          <w:color w:val="000000"/>
        </w:rPr>
        <w:t>veya ek</w:t>
      </w:r>
      <w:r w:rsidRPr="001C345E">
        <w:rPr>
          <w:color w:val="000000"/>
        </w:rPr>
        <w:t xml:space="preserve"> yükümlülük</w:t>
      </w:r>
      <w:r w:rsidR="00AC3B83">
        <w:rPr>
          <w:color w:val="000000"/>
        </w:rPr>
        <w:t>ler</w:t>
      </w:r>
      <w:r w:rsidRPr="001C345E">
        <w:rPr>
          <w:color w:val="000000"/>
        </w:rPr>
        <w:t xml:space="preserve"> </w:t>
      </w:r>
      <w:r>
        <w:rPr>
          <w:color w:val="000000"/>
        </w:rPr>
        <w:t>getir</w:t>
      </w:r>
      <w:r w:rsidR="00AC3B83">
        <w:rPr>
          <w:color w:val="000000"/>
        </w:rPr>
        <w:t>mek.</w:t>
      </w:r>
    </w:p>
    <w:p w14:paraId="282B70B4" w14:textId="77777777" w:rsidR="00ED6893" w:rsidRDefault="00ED6893" w:rsidP="00ED6893">
      <w:pPr>
        <w:ind w:firstLine="709"/>
        <w:jc w:val="both"/>
        <w:rPr>
          <w:color w:val="000000"/>
        </w:rPr>
      </w:pPr>
      <w:r>
        <w:rPr>
          <w:color w:val="000000"/>
        </w:rPr>
        <w:t>(</w:t>
      </w:r>
      <w:r w:rsidR="00170893">
        <w:rPr>
          <w:color w:val="000000"/>
        </w:rPr>
        <w:t>6</w:t>
      </w:r>
      <w:r>
        <w:rPr>
          <w:color w:val="000000"/>
        </w:rPr>
        <w:t xml:space="preserve">) </w:t>
      </w:r>
      <w:r w:rsidR="00871491">
        <w:rPr>
          <w:color w:val="000000"/>
        </w:rPr>
        <w:t>Y</w:t>
      </w:r>
      <w:r>
        <w:rPr>
          <w:color w:val="000000"/>
        </w:rPr>
        <w:t>ayınlanmış bir t</w:t>
      </w:r>
      <w:r w:rsidRPr="00ED6893">
        <w:rPr>
          <w:color w:val="000000"/>
        </w:rPr>
        <w:t>üketici değerlendirme</w:t>
      </w:r>
      <w:r>
        <w:rPr>
          <w:color w:val="000000"/>
        </w:rPr>
        <w:t>si</w:t>
      </w:r>
      <w:r w:rsidR="00871491">
        <w:rPr>
          <w:color w:val="000000"/>
        </w:rPr>
        <w:t>nin yanıltıcı</w:t>
      </w:r>
      <w:r w:rsidR="00871491" w:rsidRPr="00ED6893">
        <w:rPr>
          <w:color w:val="000000"/>
        </w:rPr>
        <w:t xml:space="preserve"> olduğu tespit edil</w:t>
      </w:r>
      <w:r w:rsidR="00871491">
        <w:rPr>
          <w:color w:val="000000"/>
        </w:rPr>
        <w:t>diği durumda değerlendirme</w:t>
      </w:r>
      <w:r w:rsidR="00871491" w:rsidRPr="00ED6893">
        <w:rPr>
          <w:color w:val="000000"/>
        </w:rPr>
        <w:t xml:space="preserve"> </w:t>
      </w:r>
      <w:r w:rsidR="00512F94">
        <w:rPr>
          <w:color w:val="000000"/>
        </w:rPr>
        <w:t>derhal kaldırılır</w:t>
      </w:r>
      <w:r w:rsidR="00590C26">
        <w:rPr>
          <w:color w:val="000000"/>
        </w:rPr>
        <w:t>.</w:t>
      </w:r>
      <w:r w:rsidR="00512F94">
        <w:rPr>
          <w:color w:val="000000"/>
        </w:rPr>
        <w:t xml:space="preserve"> </w:t>
      </w:r>
    </w:p>
    <w:p w14:paraId="258F784B" w14:textId="77777777" w:rsidR="0074181C" w:rsidRDefault="0074181C" w:rsidP="001F540B">
      <w:pPr>
        <w:rPr>
          <w:b/>
          <w:bCs/>
          <w:color w:val="000000"/>
        </w:rPr>
      </w:pPr>
    </w:p>
    <w:p w14:paraId="0C0692FE" w14:textId="77777777" w:rsidR="00374ACC" w:rsidRPr="002D282F" w:rsidRDefault="00374ACC" w:rsidP="002D282F">
      <w:pPr>
        <w:jc w:val="center"/>
        <w:rPr>
          <w:color w:val="000000"/>
        </w:rPr>
      </w:pPr>
      <w:r w:rsidRPr="002D282F">
        <w:rPr>
          <w:b/>
          <w:bCs/>
          <w:color w:val="000000"/>
        </w:rPr>
        <w:t>ÜÇÜNCÜ BÖLÜM</w:t>
      </w:r>
    </w:p>
    <w:p w14:paraId="7341C129" w14:textId="77777777" w:rsidR="00374ACC" w:rsidRPr="002D282F" w:rsidRDefault="00374ACC" w:rsidP="002D282F">
      <w:pPr>
        <w:jc w:val="center"/>
        <w:rPr>
          <w:b/>
          <w:bCs/>
          <w:color w:val="000000"/>
        </w:rPr>
      </w:pPr>
      <w:r w:rsidRPr="002D282F">
        <w:rPr>
          <w:b/>
          <w:bCs/>
          <w:color w:val="000000"/>
        </w:rPr>
        <w:t>Son Hükümler</w:t>
      </w:r>
    </w:p>
    <w:p w14:paraId="3C9C2626" w14:textId="77777777" w:rsidR="00374ACC" w:rsidRPr="002D282F" w:rsidRDefault="00374ACC" w:rsidP="002D282F">
      <w:pPr>
        <w:jc w:val="center"/>
      </w:pPr>
    </w:p>
    <w:p w14:paraId="4D705B24" w14:textId="77777777" w:rsidR="0058581B" w:rsidRPr="002D282F" w:rsidRDefault="0058581B" w:rsidP="002D282F">
      <w:pPr>
        <w:ind w:firstLine="709"/>
        <w:jc w:val="both"/>
        <w:rPr>
          <w:b/>
          <w:bCs/>
          <w:color w:val="000000"/>
        </w:rPr>
      </w:pPr>
      <w:r w:rsidRPr="002D282F">
        <w:rPr>
          <w:b/>
          <w:bCs/>
          <w:color w:val="000000"/>
        </w:rPr>
        <w:t xml:space="preserve">Yükümlülük </w:t>
      </w:r>
    </w:p>
    <w:p w14:paraId="6A655E06" w14:textId="77777777" w:rsidR="006379FD" w:rsidRDefault="0058581B" w:rsidP="002D282F">
      <w:pPr>
        <w:ind w:firstLine="709"/>
        <w:jc w:val="both"/>
        <w:rPr>
          <w:color w:val="000000"/>
        </w:rPr>
      </w:pPr>
      <w:r w:rsidRPr="002D282F">
        <w:rPr>
          <w:b/>
          <w:bCs/>
          <w:color w:val="000000"/>
        </w:rPr>
        <w:t xml:space="preserve">MADDE </w:t>
      </w:r>
      <w:r w:rsidR="001F540B">
        <w:rPr>
          <w:b/>
          <w:bCs/>
          <w:color w:val="000000"/>
        </w:rPr>
        <w:t>9</w:t>
      </w:r>
      <w:r w:rsidRPr="002D282F">
        <w:rPr>
          <w:b/>
          <w:bCs/>
          <w:color w:val="000000"/>
        </w:rPr>
        <w:t xml:space="preserve"> –</w:t>
      </w:r>
      <w:r w:rsidRPr="002D282F">
        <w:rPr>
          <w:color w:val="000000"/>
        </w:rPr>
        <w:t xml:space="preserve"> (1) </w:t>
      </w:r>
      <w:r w:rsidR="002C49DA" w:rsidRPr="002D282F">
        <w:rPr>
          <w:color w:val="000000"/>
        </w:rPr>
        <w:t>Reklam verenler, reklam ajansları ve mecra kuruluş</w:t>
      </w:r>
      <w:r w:rsidR="00D60FE1" w:rsidRPr="002D282F">
        <w:rPr>
          <w:color w:val="000000"/>
        </w:rPr>
        <w:t>ları</w:t>
      </w:r>
      <w:r w:rsidR="002C49DA" w:rsidRPr="002D282F">
        <w:rPr>
          <w:color w:val="000000"/>
        </w:rPr>
        <w:t xml:space="preserve">, bu Kılavuz maddelerine uyum konusunda </w:t>
      </w:r>
      <w:r w:rsidR="00855A21" w:rsidRPr="002D282F">
        <w:rPr>
          <w:color w:val="000000"/>
        </w:rPr>
        <w:t>ayrı ayrı sorumludur</w:t>
      </w:r>
      <w:r w:rsidR="002C49DA" w:rsidRPr="002D282F">
        <w:rPr>
          <w:color w:val="000000"/>
        </w:rPr>
        <w:t xml:space="preserve">. </w:t>
      </w:r>
    </w:p>
    <w:p w14:paraId="4DD5063D" w14:textId="77777777" w:rsidR="0058581B" w:rsidRPr="002D282F" w:rsidRDefault="006379FD" w:rsidP="002D282F">
      <w:pPr>
        <w:ind w:firstLine="709"/>
        <w:jc w:val="both"/>
        <w:rPr>
          <w:color w:val="000000"/>
        </w:rPr>
      </w:pPr>
      <w:r w:rsidRPr="002D282F">
        <w:rPr>
          <w:color w:val="000000"/>
        </w:rPr>
        <w:t xml:space="preserve">(2) </w:t>
      </w:r>
      <w:r w:rsidR="00B65EFA" w:rsidRPr="002D282F">
        <w:t>6502 sayılı</w:t>
      </w:r>
      <w:r w:rsidR="00B65EFA" w:rsidRPr="002D282F">
        <w:rPr>
          <w:color w:val="000000"/>
        </w:rPr>
        <w:t xml:space="preserve"> </w:t>
      </w:r>
      <w:r w:rsidR="0058581B" w:rsidRPr="002D282F">
        <w:rPr>
          <w:color w:val="000000"/>
        </w:rPr>
        <w:t xml:space="preserve">Kanunun 61 inci ve </w:t>
      </w:r>
      <w:proofErr w:type="gramStart"/>
      <w:r w:rsidR="0058581B" w:rsidRPr="002D282F">
        <w:rPr>
          <w:color w:val="000000"/>
        </w:rPr>
        <w:t xml:space="preserve">62 </w:t>
      </w:r>
      <w:proofErr w:type="spellStart"/>
      <w:r w:rsidR="0058581B" w:rsidRPr="002D282F">
        <w:rPr>
          <w:color w:val="000000"/>
        </w:rPr>
        <w:t>nci</w:t>
      </w:r>
      <w:proofErr w:type="spellEnd"/>
      <w:proofErr w:type="gramEnd"/>
      <w:r w:rsidR="0058581B" w:rsidRPr="002D282F">
        <w:rPr>
          <w:color w:val="000000"/>
        </w:rPr>
        <w:t xml:space="preserve"> maddelerine, Yönetmeliğe ve bu Kılavuza uygun olmayan reklamın veya ticari uygulamanın daha sonra düzeltilmesi veya telafi edilmesi reklam verenin veya ticari uygulamada bulunanın tespit edilen aykırılığa ilişkin sorumluluğunu ortadan kaldırmaz.</w:t>
      </w:r>
    </w:p>
    <w:p w14:paraId="005D27E2" w14:textId="77777777" w:rsidR="0058581B" w:rsidRPr="002D282F" w:rsidRDefault="006379FD" w:rsidP="002D282F">
      <w:pPr>
        <w:ind w:firstLine="709"/>
        <w:jc w:val="both"/>
        <w:rPr>
          <w:color w:val="000000"/>
        </w:rPr>
      </w:pPr>
      <w:r w:rsidRPr="002D282F">
        <w:t>(3</w:t>
      </w:r>
      <w:r w:rsidR="0058581B" w:rsidRPr="002D282F">
        <w:t xml:space="preserve">) </w:t>
      </w:r>
      <w:r w:rsidR="004C083A" w:rsidRPr="002D282F">
        <w:t>Bu Kılavuz hükümleri, 6502 sayılı Kanun ve Yönetmeli</w:t>
      </w:r>
      <w:r w:rsidR="004745E2" w:rsidRPr="002D282F">
        <w:t>k</w:t>
      </w:r>
      <w:r w:rsidR="004C083A" w:rsidRPr="002D282F">
        <w:t xml:space="preserve"> hükümlerine aykırı şekilde yorumlanamaz ve uygulanamaz.</w:t>
      </w:r>
    </w:p>
    <w:p w14:paraId="10CFB4CA" w14:textId="77777777" w:rsidR="00374ACC" w:rsidRPr="002D282F" w:rsidRDefault="00374ACC" w:rsidP="002D282F">
      <w:pPr>
        <w:jc w:val="both"/>
      </w:pPr>
    </w:p>
    <w:p w14:paraId="0B5758E4" w14:textId="77777777" w:rsidR="00374ACC" w:rsidRPr="002D282F" w:rsidRDefault="00374ACC" w:rsidP="002D282F">
      <w:pPr>
        <w:ind w:firstLine="709"/>
        <w:jc w:val="both"/>
        <w:rPr>
          <w:b/>
        </w:rPr>
      </w:pPr>
      <w:r w:rsidRPr="002D282F">
        <w:rPr>
          <w:b/>
        </w:rPr>
        <w:t>Yürürlük</w:t>
      </w:r>
    </w:p>
    <w:p w14:paraId="30F9EAD1" w14:textId="77777777" w:rsidR="00374ACC" w:rsidRPr="002D282F" w:rsidRDefault="00374ACC" w:rsidP="00FA7DC2">
      <w:pPr>
        <w:ind w:firstLine="709"/>
        <w:jc w:val="both"/>
      </w:pPr>
      <w:r w:rsidRPr="002D282F">
        <w:rPr>
          <w:b/>
          <w:bCs/>
          <w:color w:val="000000"/>
        </w:rPr>
        <w:t>MADDE 1</w:t>
      </w:r>
      <w:r w:rsidR="001F540B">
        <w:rPr>
          <w:b/>
          <w:bCs/>
          <w:color w:val="000000"/>
        </w:rPr>
        <w:t>0</w:t>
      </w:r>
      <w:r w:rsidRPr="002D282F">
        <w:rPr>
          <w:b/>
          <w:bCs/>
          <w:color w:val="000000"/>
        </w:rPr>
        <w:t xml:space="preserve"> –</w:t>
      </w:r>
      <w:r w:rsidRPr="002D282F">
        <w:rPr>
          <w:color w:val="000000"/>
        </w:rPr>
        <w:t> </w:t>
      </w:r>
      <w:r w:rsidR="00FC1048" w:rsidRPr="002D282F">
        <w:t>(1)</w:t>
      </w:r>
      <w:r w:rsidR="00FC1048" w:rsidRPr="002D282F">
        <w:rPr>
          <w:b/>
        </w:rPr>
        <w:t xml:space="preserve"> </w:t>
      </w:r>
      <w:r w:rsidR="00EF2BAE" w:rsidRPr="002D282F">
        <w:t>Bu Kılavuz</w:t>
      </w:r>
      <w:r w:rsidR="005E2307" w:rsidRPr="002D282F">
        <w:t xml:space="preserve">, </w:t>
      </w:r>
      <w:r w:rsidR="000103FC" w:rsidRPr="002D282F">
        <w:t xml:space="preserve">Reklam </w:t>
      </w:r>
      <w:r w:rsidR="005E2307" w:rsidRPr="002D282F">
        <w:t>Kurul</w:t>
      </w:r>
      <w:r w:rsidR="00FD7F62">
        <w:t xml:space="preserve">u </w:t>
      </w:r>
      <w:r w:rsidR="00252434" w:rsidRPr="002D282F">
        <w:t>kararı</w:t>
      </w:r>
      <w:r w:rsidR="00EF2BAE" w:rsidRPr="002D282F">
        <w:t xml:space="preserve"> ile yürürlüğe girer.</w:t>
      </w:r>
    </w:p>
    <w:sectPr w:rsidR="00374ACC" w:rsidRPr="002D282F" w:rsidSect="0024113D">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B1FA" w14:textId="77777777" w:rsidR="001F2034" w:rsidRDefault="001F2034" w:rsidP="002C78E4">
      <w:r>
        <w:separator/>
      </w:r>
    </w:p>
  </w:endnote>
  <w:endnote w:type="continuationSeparator" w:id="0">
    <w:p w14:paraId="7D2CBD1F" w14:textId="77777777" w:rsidR="001F2034" w:rsidRDefault="001F2034" w:rsidP="002C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132043"/>
      <w:docPartObj>
        <w:docPartGallery w:val="Page Numbers (Bottom of Page)"/>
        <w:docPartUnique/>
      </w:docPartObj>
    </w:sdtPr>
    <w:sdtEndPr/>
    <w:sdtContent>
      <w:p w14:paraId="44E6BA5F" w14:textId="77777777" w:rsidR="002C78E4" w:rsidRDefault="002C78E4">
        <w:pPr>
          <w:pStyle w:val="AltBilgi"/>
          <w:jc w:val="right"/>
        </w:pPr>
        <w:r>
          <w:fldChar w:fldCharType="begin"/>
        </w:r>
        <w:r>
          <w:instrText>PAGE   \* MERGEFORMAT</w:instrText>
        </w:r>
        <w:r>
          <w:fldChar w:fldCharType="separate"/>
        </w:r>
        <w:r w:rsidR="00893EC8">
          <w:rPr>
            <w:noProof/>
          </w:rPr>
          <w:t>5</w:t>
        </w:r>
        <w:r>
          <w:fldChar w:fldCharType="end"/>
        </w:r>
      </w:p>
    </w:sdtContent>
  </w:sdt>
  <w:p w14:paraId="62889A90" w14:textId="77777777" w:rsidR="002C78E4" w:rsidRDefault="002C78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83B3" w14:textId="77777777" w:rsidR="001F2034" w:rsidRDefault="001F2034" w:rsidP="002C78E4">
      <w:r>
        <w:separator/>
      </w:r>
    </w:p>
  </w:footnote>
  <w:footnote w:type="continuationSeparator" w:id="0">
    <w:p w14:paraId="27EC8B62" w14:textId="77777777" w:rsidR="001F2034" w:rsidRDefault="001F2034" w:rsidP="002C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F6A"/>
    <w:multiLevelType w:val="hybridMultilevel"/>
    <w:tmpl w:val="6B2039D0"/>
    <w:lvl w:ilvl="0" w:tplc="F752AE76">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D32EA2"/>
    <w:multiLevelType w:val="hybridMultilevel"/>
    <w:tmpl w:val="CDDC17BE"/>
    <w:lvl w:ilvl="0" w:tplc="DBC0E06A">
      <w:start w:val="1"/>
      <w:numFmt w:val="decimal"/>
      <w:lvlText w:val="(%1)"/>
      <w:lvlJc w:val="left"/>
      <w:pPr>
        <w:ind w:left="1069" w:hanging="36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B91315C"/>
    <w:multiLevelType w:val="hybridMultilevel"/>
    <w:tmpl w:val="76982FAA"/>
    <w:lvl w:ilvl="0" w:tplc="50B458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D7C71"/>
    <w:multiLevelType w:val="hybridMultilevel"/>
    <w:tmpl w:val="D0B08E82"/>
    <w:lvl w:ilvl="0" w:tplc="73FC1D56">
      <w:start w:val="1"/>
      <w:numFmt w:val="decimal"/>
      <w:lvlText w:val="(%1)"/>
      <w:lvlJc w:val="left"/>
      <w:pPr>
        <w:ind w:left="927" w:hanging="360"/>
      </w:pPr>
      <w:rPr>
        <w:rFonts w:hint="default"/>
        <w:color w:val="000000" w:themeColor="tex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44B0DFC"/>
    <w:multiLevelType w:val="hybridMultilevel"/>
    <w:tmpl w:val="9B4E7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16A1C"/>
    <w:multiLevelType w:val="hybridMultilevel"/>
    <w:tmpl w:val="22E622E4"/>
    <w:lvl w:ilvl="0" w:tplc="99865108">
      <w:start w:val="1"/>
      <w:numFmt w:val="lowerLetter"/>
      <w:lvlText w:val="%1)"/>
      <w:lvlJc w:val="left"/>
      <w:pPr>
        <w:ind w:left="207" w:hanging="360"/>
      </w:pPr>
      <w:rPr>
        <w:rFonts w:hint="default"/>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6" w15:restartNumberingAfterBreak="0">
    <w:nsid w:val="30957CE6"/>
    <w:multiLevelType w:val="hybridMultilevel"/>
    <w:tmpl w:val="51B28D58"/>
    <w:lvl w:ilvl="0" w:tplc="AD3A3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3B56B99"/>
    <w:multiLevelType w:val="hybridMultilevel"/>
    <w:tmpl w:val="01EC1FB6"/>
    <w:lvl w:ilvl="0" w:tplc="656C3E28">
      <w:start w:val="1"/>
      <w:numFmt w:val="lowerLetter"/>
      <w:lvlText w:val="%1)"/>
      <w:lvlJc w:val="left"/>
      <w:pPr>
        <w:ind w:left="1069" w:hanging="36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D692D85"/>
    <w:multiLevelType w:val="hybridMultilevel"/>
    <w:tmpl w:val="0EE4A6A6"/>
    <w:lvl w:ilvl="0" w:tplc="54ACB6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DBB00DC"/>
    <w:multiLevelType w:val="hybridMultilevel"/>
    <w:tmpl w:val="B97C6D68"/>
    <w:lvl w:ilvl="0" w:tplc="8E2EE0C0">
      <w:start w:val="5"/>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499E7632"/>
    <w:multiLevelType w:val="hybridMultilevel"/>
    <w:tmpl w:val="7510570A"/>
    <w:lvl w:ilvl="0" w:tplc="568CB4EC">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2144B1"/>
    <w:multiLevelType w:val="hybridMultilevel"/>
    <w:tmpl w:val="747C1506"/>
    <w:lvl w:ilvl="0" w:tplc="FA00811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61A57"/>
    <w:multiLevelType w:val="hybridMultilevel"/>
    <w:tmpl w:val="6A140C66"/>
    <w:lvl w:ilvl="0" w:tplc="639029C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858C7"/>
    <w:multiLevelType w:val="hybridMultilevel"/>
    <w:tmpl w:val="B3D46F3C"/>
    <w:lvl w:ilvl="0" w:tplc="67627638">
      <w:start w:val="6"/>
      <w:numFmt w:val="bullet"/>
      <w:lvlText w:val="-"/>
      <w:lvlJc w:val="left"/>
      <w:pPr>
        <w:ind w:left="1069" w:hanging="360"/>
      </w:pPr>
      <w:rPr>
        <w:rFonts w:ascii="Minion" w:eastAsia="Times New Roman" w:hAnsi="Minio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68D75453"/>
    <w:multiLevelType w:val="hybridMultilevel"/>
    <w:tmpl w:val="BF744D0A"/>
    <w:lvl w:ilvl="0" w:tplc="14C63B6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15:restartNumberingAfterBreak="0">
    <w:nsid w:val="6EAB57CD"/>
    <w:multiLevelType w:val="hybridMultilevel"/>
    <w:tmpl w:val="3B4AF5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00718D7"/>
    <w:multiLevelType w:val="hybridMultilevel"/>
    <w:tmpl w:val="1DE67AC2"/>
    <w:lvl w:ilvl="0" w:tplc="6BB478B4">
      <w:start w:val="1"/>
      <mc:AlternateContent>
        <mc:Choice Requires="w14">
          <w:numFmt w:val="custom" w:format="a, ç, ĝ, ..."/>
        </mc:Choice>
        <mc:Fallback>
          <w:numFmt w:val="decimal"/>
        </mc:Fallback>
      </mc:AlternateContent>
      <w:lvlText w:val="%1)"/>
      <w:lvlJc w:val="left"/>
      <w:pPr>
        <w:ind w:left="927" w:hanging="360"/>
      </w:pPr>
      <w:rPr>
        <w:rFonts w:hint="default"/>
        <w:color w:val="000000" w:themeColor="tex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7E9766E"/>
    <w:multiLevelType w:val="hybridMultilevel"/>
    <w:tmpl w:val="01DA61C2"/>
    <w:lvl w:ilvl="0" w:tplc="C2606F38">
      <w:start w:val="1"/>
      <w:numFmt w:val="lowerLetter"/>
      <w:lvlText w:val="%1)"/>
      <w:lvlJc w:val="left"/>
      <w:pPr>
        <w:ind w:left="1069" w:hanging="360"/>
      </w:pPr>
      <w:rPr>
        <w:rFonts w:ascii="Times New Roman" w:eastAsia="Times New Roman"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8" w15:restartNumberingAfterBreak="0">
    <w:nsid w:val="79201DBD"/>
    <w:multiLevelType w:val="hybridMultilevel"/>
    <w:tmpl w:val="6E088254"/>
    <w:lvl w:ilvl="0" w:tplc="598236D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2"/>
  </w:num>
  <w:num w:numId="5">
    <w:abstractNumId w:val="2"/>
  </w:num>
  <w:num w:numId="6">
    <w:abstractNumId w:val="4"/>
  </w:num>
  <w:num w:numId="7">
    <w:abstractNumId w:val="10"/>
  </w:num>
  <w:num w:numId="8">
    <w:abstractNumId w:val="6"/>
  </w:num>
  <w:num w:numId="9">
    <w:abstractNumId w:val="16"/>
  </w:num>
  <w:num w:numId="10">
    <w:abstractNumId w:val="8"/>
  </w:num>
  <w:num w:numId="11">
    <w:abstractNumId w:val="5"/>
  </w:num>
  <w:num w:numId="12">
    <w:abstractNumId w:val="15"/>
  </w:num>
  <w:num w:numId="13">
    <w:abstractNumId w:val="13"/>
  </w:num>
  <w:num w:numId="14">
    <w:abstractNumId w:val="17"/>
  </w:num>
  <w:num w:numId="15">
    <w:abstractNumId w:val="14"/>
  </w:num>
  <w:num w:numId="16">
    <w:abstractNumId w:val="1"/>
  </w:num>
  <w:num w:numId="17">
    <w:abstractNumId w:val="3"/>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65"/>
    <w:rsid w:val="00005E00"/>
    <w:rsid w:val="000060B8"/>
    <w:rsid w:val="0000654A"/>
    <w:rsid w:val="000065AA"/>
    <w:rsid w:val="000103FC"/>
    <w:rsid w:val="00011D69"/>
    <w:rsid w:val="00012482"/>
    <w:rsid w:val="000134E5"/>
    <w:rsid w:val="00013914"/>
    <w:rsid w:val="00013E0F"/>
    <w:rsid w:val="00013E90"/>
    <w:rsid w:val="00013EB5"/>
    <w:rsid w:val="00015A1B"/>
    <w:rsid w:val="00017237"/>
    <w:rsid w:val="0001797E"/>
    <w:rsid w:val="00017CD7"/>
    <w:rsid w:val="00022C68"/>
    <w:rsid w:val="00023B2F"/>
    <w:rsid w:val="00026CB5"/>
    <w:rsid w:val="00034F04"/>
    <w:rsid w:val="00036CFC"/>
    <w:rsid w:val="00036ECA"/>
    <w:rsid w:val="0003793D"/>
    <w:rsid w:val="0004256C"/>
    <w:rsid w:val="00043C87"/>
    <w:rsid w:val="00043E62"/>
    <w:rsid w:val="000466D0"/>
    <w:rsid w:val="00051891"/>
    <w:rsid w:val="00057283"/>
    <w:rsid w:val="00057D8E"/>
    <w:rsid w:val="00063C4B"/>
    <w:rsid w:val="00065749"/>
    <w:rsid w:val="00066B56"/>
    <w:rsid w:val="00067B67"/>
    <w:rsid w:val="0007127E"/>
    <w:rsid w:val="0007194B"/>
    <w:rsid w:val="0007207D"/>
    <w:rsid w:val="00081367"/>
    <w:rsid w:val="0008567C"/>
    <w:rsid w:val="000872DA"/>
    <w:rsid w:val="00091672"/>
    <w:rsid w:val="00091F45"/>
    <w:rsid w:val="00094DC5"/>
    <w:rsid w:val="00094DE7"/>
    <w:rsid w:val="00095639"/>
    <w:rsid w:val="000959F6"/>
    <w:rsid w:val="000A0819"/>
    <w:rsid w:val="000A0E70"/>
    <w:rsid w:val="000A10CF"/>
    <w:rsid w:val="000A1397"/>
    <w:rsid w:val="000A18D9"/>
    <w:rsid w:val="000A37D9"/>
    <w:rsid w:val="000A3A3A"/>
    <w:rsid w:val="000A54A4"/>
    <w:rsid w:val="000A5C4B"/>
    <w:rsid w:val="000A65F7"/>
    <w:rsid w:val="000A7C22"/>
    <w:rsid w:val="000B0E68"/>
    <w:rsid w:val="000B4E49"/>
    <w:rsid w:val="000B688E"/>
    <w:rsid w:val="000B6AF3"/>
    <w:rsid w:val="000B6EFA"/>
    <w:rsid w:val="000B6FC7"/>
    <w:rsid w:val="000C10D4"/>
    <w:rsid w:val="000C139B"/>
    <w:rsid w:val="000C29FC"/>
    <w:rsid w:val="000C370B"/>
    <w:rsid w:val="000C4500"/>
    <w:rsid w:val="000C57F2"/>
    <w:rsid w:val="000C7834"/>
    <w:rsid w:val="000D070B"/>
    <w:rsid w:val="000D1AE7"/>
    <w:rsid w:val="000D4F7A"/>
    <w:rsid w:val="000D5CCF"/>
    <w:rsid w:val="000D6D07"/>
    <w:rsid w:val="000E3493"/>
    <w:rsid w:val="000E51C3"/>
    <w:rsid w:val="000E5B9C"/>
    <w:rsid w:val="000E5F10"/>
    <w:rsid w:val="000E61ED"/>
    <w:rsid w:val="000E7539"/>
    <w:rsid w:val="000F2F66"/>
    <w:rsid w:val="000F322B"/>
    <w:rsid w:val="000F55EF"/>
    <w:rsid w:val="00101021"/>
    <w:rsid w:val="00104C8C"/>
    <w:rsid w:val="00105F8F"/>
    <w:rsid w:val="00106EC1"/>
    <w:rsid w:val="00110219"/>
    <w:rsid w:val="00110A1B"/>
    <w:rsid w:val="00113248"/>
    <w:rsid w:val="00115A1D"/>
    <w:rsid w:val="00115B32"/>
    <w:rsid w:val="001168FB"/>
    <w:rsid w:val="00116E3B"/>
    <w:rsid w:val="00116F8F"/>
    <w:rsid w:val="001224EF"/>
    <w:rsid w:val="00123114"/>
    <w:rsid w:val="00123DF8"/>
    <w:rsid w:val="0012429B"/>
    <w:rsid w:val="00125D76"/>
    <w:rsid w:val="00134693"/>
    <w:rsid w:val="00135520"/>
    <w:rsid w:val="00136C44"/>
    <w:rsid w:val="00140059"/>
    <w:rsid w:val="00140CFB"/>
    <w:rsid w:val="0014178E"/>
    <w:rsid w:val="001449A5"/>
    <w:rsid w:val="00147952"/>
    <w:rsid w:val="001520F3"/>
    <w:rsid w:val="00152F3A"/>
    <w:rsid w:val="00155FF6"/>
    <w:rsid w:val="001561CC"/>
    <w:rsid w:val="00163F52"/>
    <w:rsid w:val="00164A42"/>
    <w:rsid w:val="001660D2"/>
    <w:rsid w:val="00167F52"/>
    <w:rsid w:val="00170893"/>
    <w:rsid w:val="0017143F"/>
    <w:rsid w:val="001733ED"/>
    <w:rsid w:val="00175036"/>
    <w:rsid w:val="00175E07"/>
    <w:rsid w:val="00175E5E"/>
    <w:rsid w:val="00184BE5"/>
    <w:rsid w:val="00187DBD"/>
    <w:rsid w:val="00191276"/>
    <w:rsid w:val="00192124"/>
    <w:rsid w:val="00194F4C"/>
    <w:rsid w:val="001957DF"/>
    <w:rsid w:val="0019685B"/>
    <w:rsid w:val="001A1EC9"/>
    <w:rsid w:val="001A2D40"/>
    <w:rsid w:val="001B04D0"/>
    <w:rsid w:val="001B068A"/>
    <w:rsid w:val="001B2802"/>
    <w:rsid w:val="001B4354"/>
    <w:rsid w:val="001B4622"/>
    <w:rsid w:val="001B6638"/>
    <w:rsid w:val="001B71A4"/>
    <w:rsid w:val="001C35EE"/>
    <w:rsid w:val="001C3F4B"/>
    <w:rsid w:val="001D12F2"/>
    <w:rsid w:val="001D1781"/>
    <w:rsid w:val="001D2182"/>
    <w:rsid w:val="001D51AF"/>
    <w:rsid w:val="001D5BA6"/>
    <w:rsid w:val="001E01DF"/>
    <w:rsid w:val="001E06EB"/>
    <w:rsid w:val="001E0F1F"/>
    <w:rsid w:val="001E17C5"/>
    <w:rsid w:val="001E1F94"/>
    <w:rsid w:val="001E3A06"/>
    <w:rsid w:val="001E3F1B"/>
    <w:rsid w:val="001E55E0"/>
    <w:rsid w:val="001E6C1D"/>
    <w:rsid w:val="001F180F"/>
    <w:rsid w:val="001F2034"/>
    <w:rsid w:val="001F3E84"/>
    <w:rsid w:val="001F540B"/>
    <w:rsid w:val="00200088"/>
    <w:rsid w:val="00200AD7"/>
    <w:rsid w:val="002021E3"/>
    <w:rsid w:val="002043D3"/>
    <w:rsid w:val="00204C01"/>
    <w:rsid w:val="0020543F"/>
    <w:rsid w:val="002065A5"/>
    <w:rsid w:val="0021026D"/>
    <w:rsid w:val="002142C4"/>
    <w:rsid w:val="00215473"/>
    <w:rsid w:val="0022140D"/>
    <w:rsid w:val="00222619"/>
    <w:rsid w:val="002237A6"/>
    <w:rsid w:val="00223C57"/>
    <w:rsid w:val="00223EF2"/>
    <w:rsid w:val="002246B5"/>
    <w:rsid w:val="00225EFA"/>
    <w:rsid w:val="002318A4"/>
    <w:rsid w:val="00233A3B"/>
    <w:rsid w:val="0024113D"/>
    <w:rsid w:val="00242A00"/>
    <w:rsid w:val="0024428A"/>
    <w:rsid w:val="0024501B"/>
    <w:rsid w:val="002466F0"/>
    <w:rsid w:val="00247295"/>
    <w:rsid w:val="0025057B"/>
    <w:rsid w:val="00251A68"/>
    <w:rsid w:val="00251B01"/>
    <w:rsid w:val="00252434"/>
    <w:rsid w:val="00255E84"/>
    <w:rsid w:val="00257BEE"/>
    <w:rsid w:val="00260F03"/>
    <w:rsid w:val="0026297D"/>
    <w:rsid w:val="00263D52"/>
    <w:rsid w:val="00265279"/>
    <w:rsid w:val="00267487"/>
    <w:rsid w:val="00272E6D"/>
    <w:rsid w:val="002760C4"/>
    <w:rsid w:val="00280778"/>
    <w:rsid w:val="002815A8"/>
    <w:rsid w:val="00281B5A"/>
    <w:rsid w:val="002845FC"/>
    <w:rsid w:val="00290A5E"/>
    <w:rsid w:val="002916E6"/>
    <w:rsid w:val="00291FB6"/>
    <w:rsid w:val="00293D91"/>
    <w:rsid w:val="002951B1"/>
    <w:rsid w:val="002A6EBB"/>
    <w:rsid w:val="002A7162"/>
    <w:rsid w:val="002B01D8"/>
    <w:rsid w:val="002B4B2D"/>
    <w:rsid w:val="002C074F"/>
    <w:rsid w:val="002C24CC"/>
    <w:rsid w:val="002C3DCC"/>
    <w:rsid w:val="002C4924"/>
    <w:rsid w:val="002C49DA"/>
    <w:rsid w:val="002C78E4"/>
    <w:rsid w:val="002D282F"/>
    <w:rsid w:val="002D378B"/>
    <w:rsid w:val="002D575C"/>
    <w:rsid w:val="002D6AA1"/>
    <w:rsid w:val="002E284C"/>
    <w:rsid w:val="002E4023"/>
    <w:rsid w:val="002E41E4"/>
    <w:rsid w:val="002E5893"/>
    <w:rsid w:val="002E6CA0"/>
    <w:rsid w:val="002F0317"/>
    <w:rsid w:val="002F06CE"/>
    <w:rsid w:val="002F098F"/>
    <w:rsid w:val="002F34F1"/>
    <w:rsid w:val="002F5B21"/>
    <w:rsid w:val="002F5E27"/>
    <w:rsid w:val="002F79AC"/>
    <w:rsid w:val="003007CF"/>
    <w:rsid w:val="0030089C"/>
    <w:rsid w:val="0030187D"/>
    <w:rsid w:val="0030233F"/>
    <w:rsid w:val="003035B9"/>
    <w:rsid w:val="00311610"/>
    <w:rsid w:val="003136FC"/>
    <w:rsid w:val="00315F7C"/>
    <w:rsid w:val="00317D6F"/>
    <w:rsid w:val="00321F9A"/>
    <w:rsid w:val="003240DA"/>
    <w:rsid w:val="003245D6"/>
    <w:rsid w:val="003259BC"/>
    <w:rsid w:val="00330FE2"/>
    <w:rsid w:val="00332293"/>
    <w:rsid w:val="003335E7"/>
    <w:rsid w:val="00333916"/>
    <w:rsid w:val="0033517C"/>
    <w:rsid w:val="00336C91"/>
    <w:rsid w:val="003430F8"/>
    <w:rsid w:val="00346902"/>
    <w:rsid w:val="003506FD"/>
    <w:rsid w:val="0035076C"/>
    <w:rsid w:val="00352FE0"/>
    <w:rsid w:val="00355909"/>
    <w:rsid w:val="003567B5"/>
    <w:rsid w:val="00356CC7"/>
    <w:rsid w:val="0036061C"/>
    <w:rsid w:val="0036571D"/>
    <w:rsid w:val="003673E1"/>
    <w:rsid w:val="00372AE3"/>
    <w:rsid w:val="0037352E"/>
    <w:rsid w:val="00374ACC"/>
    <w:rsid w:val="00377B47"/>
    <w:rsid w:val="00380597"/>
    <w:rsid w:val="00380E27"/>
    <w:rsid w:val="003817F1"/>
    <w:rsid w:val="00385137"/>
    <w:rsid w:val="00386B78"/>
    <w:rsid w:val="00390F93"/>
    <w:rsid w:val="00391490"/>
    <w:rsid w:val="00392AC8"/>
    <w:rsid w:val="00392EE6"/>
    <w:rsid w:val="00393EFE"/>
    <w:rsid w:val="00395056"/>
    <w:rsid w:val="003967C3"/>
    <w:rsid w:val="003970BC"/>
    <w:rsid w:val="003A1CBE"/>
    <w:rsid w:val="003A1E3E"/>
    <w:rsid w:val="003A35B2"/>
    <w:rsid w:val="003A3FAF"/>
    <w:rsid w:val="003A54F6"/>
    <w:rsid w:val="003A594B"/>
    <w:rsid w:val="003A652F"/>
    <w:rsid w:val="003A7B05"/>
    <w:rsid w:val="003B2376"/>
    <w:rsid w:val="003B23A3"/>
    <w:rsid w:val="003B25DC"/>
    <w:rsid w:val="003B28E0"/>
    <w:rsid w:val="003B311A"/>
    <w:rsid w:val="003B31E5"/>
    <w:rsid w:val="003B4282"/>
    <w:rsid w:val="003B4FE0"/>
    <w:rsid w:val="003B5F16"/>
    <w:rsid w:val="003B6B26"/>
    <w:rsid w:val="003B6FEB"/>
    <w:rsid w:val="003C0BB9"/>
    <w:rsid w:val="003C235D"/>
    <w:rsid w:val="003C28DF"/>
    <w:rsid w:val="003C4C94"/>
    <w:rsid w:val="003C50A6"/>
    <w:rsid w:val="003C6F8E"/>
    <w:rsid w:val="003D0AA8"/>
    <w:rsid w:val="003D23F8"/>
    <w:rsid w:val="003D4631"/>
    <w:rsid w:val="003E094F"/>
    <w:rsid w:val="003E0FBA"/>
    <w:rsid w:val="003E1C0F"/>
    <w:rsid w:val="003E274D"/>
    <w:rsid w:val="003E2E80"/>
    <w:rsid w:val="003E4DA9"/>
    <w:rsid w:val="003E58A7"/>
    <w:rsid w:val="003E5EA8"/>
    <w:rsid w:val="003E6D82"/>
    <w:rsid w:val="003E781C"/>
    <w:rsid w:val="003E7B69"/>
    <w:rsid w:val="003E7F33"/>
    <w:rsid w:val="003F2647"/>
    <w:rsid w:val="003F3A4E"/>
    <w:rsid w:val="004023AE"/>
    <w:rsid w:val="00402613"/>
    <w:rsid w:val="004063FE"/>
    <w:rsid w:val="00407569"/>
    <w:rsid w:val="00411CB5"/>
    <w:rsid w:val="0041224A"/>
    <w:rsid w:val="004129BD"/>
    <w:rsid w:val="00412DD7"/>
    <w:rsid w:val="00412EDE"/>
    <w:rsid w:val="0041303C"/>
    <w:rsid w:val="004142FF"/>
    <w:rsid w:val="00416C34"/>
    <w:rsid w:val="00420585"/>
    <w:rsid w:val="00421BE1"/>
    <w:rsid w:val="00424DA5"/>
    <w:rsid w:val="004268F2"/>
    <w:rsid w:val="0042745E"/>
    <w:rsid w:val="0043458C"/>
    <w:rsid w:val="00441D00"/>
    <w:rsid w:val="00445CD9"/>
    <w:rsid w:val="00446A70"/>
    <w:rsid w:val="00450EBC"/>
    <w:rsid w:val="0045130B"/>
    <w:rsid w:val="00451783"/>
    <w:rsid w:val="004525F5"/>
    <w:rsid w:val="0045301D"/>
    <w:rsid w:val="0045375D"/>
    <w:rsid w:val="00454607"/>
    <w:rsid w:val="0045485B"/>
    <w:rsid w:val="00454D71"/>
    <w:rsid w:val="0045515A"/>
    <w:rsid w:val="00455347"/>
    <w:rsid w:val="004553C9"/>
    <w:rsid w:val="00456810"/>
    <w:rsid w:val="00456A1A"/>
    <w:rsid w:val="00462E7B"/>
    <w:rsid w:val="00463359"/>
    <w:rsid w:val="00463C69"/>
    <w:rsid w:val="00463D41"/>
    <w:rsid w:val="00465349"/>
    <w:rsid w:val="00472ADF"/>
    <w:rsid w:val="004745E2"/>
    <w:rsid w:val="004746BF"/>
    <w:rsid w:val="00482A5D"/>
    <w:rsid w:val="00482E2D"/>
    <w:rsid w:val="0048379D"/>
    <w:rsid w:val="00485312"/>
    <w:rsid w:val="00485621"/>
    <w:rsid w:val="0048726D"/>
    <w:rsid w:val="00491348"/>
    <w:rsid w:val="004920EC"/>
    <w:rsid w:val="00493DB1"/>
    <w:rsid w:val="00496993"/>
    <w:rsid w:val="00496F0A"/>
    <w:rsid w:val="00497517"/>
    <w:rsid w:val="00497D52"/>
    <w:rsid w:val="004A36C8"/>
    <w:rsid w:val="004A3DE5"/>
    <w:rsid w:val="004A5F3F"/>
    <w:rsid w:val="004A72C5"/>
    <w:rsid w:val="004B2E3B"/>
    <w:rsid w:val="004B5622"/>
    <w:rsid w:val="004B5918"/>
    <w:rsid w:val="004C0744"/>
    <w:rsid w:val="004C083A"/>
    <w:rsid w:val="004C2855"/>
    <w:rsid w:val="004C7971"/>
    <w:rsid w:val="004D1728"/>
    <w:rsid w:val="004D1A78"/>
    <w:rsid w:val="004D30B3"/>
    <w:rsid w:val="004D45CD"/>
    <w:rsid w:val="004D4DE5"/>
    <w:rsid w:val="004D5B82"/>
    <w:rsid w:val="004D7737"/>
    <w:rsid w:val="004D77B1"/>
    <w:rsid w:val="004E0E80"/>
    <w:rsid w:val="004E0EAD"/>
    <w:rsid w:val="004E1F7F"/>
    <w:rsid w:val="004E3460"/>
    <w:rsid w:val="004E352A"/>
    <w:rsid w:val="004E3FA7"/>
    <w:rsid w:val="004E686C"/>
    <w:rsid w:val="004E7B1D"/>
    <w:rsid w:val="004E7B6A"/>
    <w:rsid w:val="004F16D9"/>
    <w:rsid w:val="004F1CDA"/>
    <w:rsid w:val="004F3468"/>
    <w:rsid w:val="00501958"/>
    <w:rsid w:val="00502235"/>
    <w:rsid w:val="00502B91"/>
    <w:rsid w:val="00506AAD"/>
    <w:rsid w:val="00507C52"/>
    <w:rsid w:val="00511098"/>
    <w:rsid w:val="00511529"/>
    <w:rsid w:val="00512F94"/>
    <w:rsid w:val="00514078"/>
    <w:rsid w:val="00514564"/>
    <w:rsid w:val="00514C10"/>
    <w:rsid w:val="005230BB"/>
    <w:rsid w:val="005230CA"/>
    <w:rsid w:val="0052324C"/>
    <w:rsid w:val="00523528"/>
    <w:rsid w:val="00524E7F"/>
    <w:rsid w:val="00525C7B"/>
    <w:rsid w:val="00526919"/>
    <w:rsid w:val="00530225"/>
    <w:rsid w:val="00530CBB"/>
    <w:rsid w:val="005311A7"/>
    <w:rsid w:val="00532449"/>
    <w:rsid w:val="005333A4"/>
    <w:rsid w:val="00534EC3"/>
    <w:rsid w:val="005563F7"/>
    <w:rsid w:val="00556AF2"/>
    <w:rsid w:val="0056201B"/>
    <w:rsid w:val="00564CC9"/>
    <w:rsid w:val="0056798A"/>
    <w:rsid w:val="00567F3C"/>
    <w:rsid w:val="00572DA9"/>
    <w:rsid w:val="005745F1"/>
    <w:rsid w:val="005750E7"/>
    <w:rsid w:val="00576F88"/>
    <w:rsid w:val="0057749D"/>
    <w:rsid w:val="0058142B"/>
    <w:rsid w:val="00581799"/>
    <w:rsid w:val="005857AF"/>
    <w:rsid w:val="0058581B"/>
    <w:rsid w:val="00585871"/>
    <w:rsid w:val="005871C8"/>
    <w:rsid w:val="005871ED"/>
    <w:rsid w:val="005876BE"/>
    <w:rsid w:val="00587F82"/>
    <w:rsid w:val="00590C26"/>
    <w:rsid w:val="00592C65"/>
    <w:rsid w:val="005933C8"/>
    <w:rsid w:val="00596791"/>
    <w:rsid w:val="00597119"/>
    <w:rsid w:val="005A1AFA"/>
    <w:rsid w:val="005A2260"/>
    <w:rsid w:val="005A2D41"/>
    <w:rsid w:val="005A3D34"/>
    <w:rsid w:val="005A5D74"/>
    <w:rsid w:val="005A62C7"/>
    <w:rsid w:val="005A668F"/>
    <w:rsid w:val="005B463B"/>
    <w:rsid w:val="005B7B9C"/>
    <w:rsid w:val="005C197A"/>
    <w:rsid w:val="005C29B2"/>
    <w:rsid w:val="005C513E"/>
    <w:rsid w:val="005C6EDC"/>
    <w:rsid w:val="005D236B"/>
    <w:rsid w:val="005D615F"/>
    <w:rsid w:val="005D72DA"/>
    <w:rsid w:val="005D7B40"/>
    <w:rsid w:val="005E2307"/>
    <w:rsid w:val="005E5779"/>
    <w:rsid w:val="005E5E98"/>
    <w:rsid w:val="005E6631"/>
    <w:rsid w:val="005E718D"/>
    <w:rsid w:val="005F3ED3"/>
    <w:rsid w:val="005F5FE3"/>
    <w:rsid w:val="005F61AF"/>
    <w:rsid w:val="005F68F1"/>
    <w:rsid w:val="0060000E"/>
    <w:rsid w:val="006000E6"/>
    <w:rsid w:val="006004F3"/>
    <w:rsid w:val="00602845"/>
    <w:rsid w:val="00603393"/>
    <w:rsid w:val="0060397C"/>
    <w:rsid w:val="00604574"/>
    <w:rsid w:val="00606C91"/>
    <w:rsid w:val="006076B4"/>
    <w:rsid w:val="0061139A"/>
    <w:rsid w:val="0061284F"/>
    <w:rsid w:val="00613230"/>
    <w:rsid w:val="006133FD"/>
    <w:rsid w:val="0063154F"/>
    <w:rsid w:val="0063650D"/>
    <w:rsid w:val="006365CF"/>
    <w:rsid w:val="006379FD"/>
    <w:rsid w:val="006424B0"/>
    <w:rsid w:val="006523A2"/>
    <w:rsid w:val="0066055B"/>
    <w:rsid w:val="00660A65"/>
    <w:rsid w:val="00660B4B"/>
    <w:rsid w:val="00665D04"/>
    <w:rsid w:val="00665FB6"/>
    <w:rsid w:val="006662B6"/>
    <w:rsid w:val="00666C73"/>
    <w:rsid w:val="00667214"/>
    <w:rsid w:val="0067226E"/>
    <w:rsid w:val="006749B9"/>
    <w:rsid w:val="00674E0B"/>
    <w:rsid w:val="00674F15"/>
    <w:rsid w:val="0067518C"/>
    <w:rsid w:val="006752AA"/>
    <w:rsid w:val="0068243C"/>
    <w:rsid w:val="00684D64"/>
    <w:rsid w:val="00686551"/>
    <w:rsid w:val="00686CD3"/>
    <w:rsid w:val="0068736B"/>
    <w:rsid w:val="006875D1"/>
    <w:rsid w:val="006919F7"/>
    <w:rsid w:val="00695114"/>
    <w:rsid w:val="0069774B"/>
    <w:rsid w:val="006A192C"/>
    <w:rsid w:val="006A4C8D"/>
    <w:rsid w:val="006A5429"/>
    <w:rsid w:val="006B091A"/>
    <w:rsid w:val="006B2923"/>
    <w:rsid w:val="006B379A"/>
    <w:rsid w:val="006B7138"/>
    <w:rsid w:val="006B7AC8"/>
    <w:rsid w:val="006C0248"/>
    <w:rsid w:val="006C0DA3"/>
    <w:rsid w:val="006C13FA"/>
    <w:rsid w:val="006C1F1A"/>
    <w:rsid w:val="006C1F5D"/>
    <w:rsid w:val="006C3E69"/>
    <w:rsid w:val="006C5A7D"/>
    <w:rsid w:val="006C5BD2"/>
    <w:rsid w:val="006C5E8B"/>
    <w:rsid w:val="006C6311"/>
    <w:rsid w:val="006C6395"/>
    <w:rsid w:val="006D1F07"/>
    <w:rsid w:val="006D29F2"/>
    <w:rsid w:val="006D3F8A"/>
    <w:rsid w:val="006E1BC5"/>
    <w:rsid w:val="006E4325"/>
    <w:rsid w:val="006E4AF6"/>
    <w:rsid w:val="006E5326"/>
    <w:rsid w:val="006F3372"/>
    <w:rsid w:val="006F527B"/>
    <w:rsid w:val="006F5BD5"/>
    <w:rsid w:val="00701F5A"/>
    <w:rsid w:val="00703AC2"/>
    <w:rsid w:val="00710FAA"/>
    <w:rsid w:val="00714DB6"/>
    <w:rsid w:val="007157A6"/>
    <w:rsid w:val="007219AA"/>
    <w:rsid w:val="00722CC1"/>
    <w:rsid w:val="007248CF"/>
    <w:rsid w:val="00725506"/>
    <w:rsid w:val="00725C17"/>
    <w:rsid w:val="00726705"/>
    <w:rsid w:val="0073147F"/>
    <w:rsid w:val="0073191F"/>
    <w:rsid w:val="00734534"/>
    <w:rsid w:val="007352F3"/>
    <w:rsid w:val="00735D80"/>
    <w:rsid w:val="007372A1"/>
    <w:rsid w:val="0074181C"/>
    <w:rsid w:val="0074693A"/>
    <w:rsid w:val="00746A23"/>
    <w:rsid w:val="00750964"/>
    <w:rsid w:val="00751C24"/>
    <w:rsid w:val="007524D1"/>
    <w:rsid w:val="00752598"/>
    <w:rsid w:val="00755778"/>
    <w:rsid w:val="00757AFB"/>
    <w:rsid w:val="007606C9"/>
    <w:rsid w:val="00761567"/>
    <w:rsid w:val="00762E47"/>
    <w:rsid w:val="00764688"/>
    <w:rsid w:val="00765D8A"/>
    <w:rsid w:val="00770182"/>
    <w:rsid w:val="00771F02"/>
    <w:rsid w:val="007770EC"/>
    <w:rsid w:val="00782576"/>
    <w:rsid w:val="0078508A"/>
    <w:rsid w:val="00785849"/>
    <w:rsid w:val="00792310"/>
    <w:rsid w:val="00792F5F"/>
    <w:rsid w:val="00792FA3"/>
    <w:rsid w:val="007935C2"/>
    <w:rsid w:val="0079627A"/>
    <w:rsid w:val="00797CED"/>
    <w:rsid w:val="007A1AF1"/>
    <w:rsid w:val="007A2574"/>
    <w:rsid w:val="007A3170"/>
    <w:rsid w:val="007A4FA6"/>
    <w:rsid w:val="007A5340"/>
    <w:rsid w:val="007B0243"/>
    <w:rsid w:val="007B341F"/>
    <w:rsid w:val="007B4EAE"/>
    <w:rsid w:val="007B561E"/>
    <w:rsid w:val="007C2187"/>
    <w:rsid w:val="007C5FEF"/>
    <w:rsid w:val="007C61F7"/>
    <w:rsid w:val="007C6C0D"/>
    <w:rsid w:val="007C73F5"/>
    <w:rsid w:val="007D235F"/>
    <w:rsid w:val="007D7E90"/>
    <w:rsid w:val="007E6BD4"/>
    <w:rsid w:val="007F1AC1"/>
    <w:rsid w:val="007F3BBA"/>
    <w:rsid w:val="007F404E"/>
    <w:rsid w:val="007F5539"/>
    <w:rsid w:val="007F5564"/>
    <w:rsid w:val="007F5BF6"/>
    <w:rsid w:val="007F6696"/>
    <w:rsid w:val="007F73C1"/>
    <w:rsid w:val="007F73FE"/>
    <w:rsid w:val="007F7A56"/>
    <w:rsid w:val="008015BA"/>
    <w:rsid w:val="00807F14"/>
    <w:rsid w:val="0081193C"/>
    <w:rsid w:val="00812312"/>
    <w:rsid w:val="00813668"/>
    <w:rsid w:val="00815999"/>
    <w:rsid w:val="00815EE4"/>
    <w:rsid w:val="00816939"/>
    <w:rsid w:val="0082688D"/>
    <w:rsid w:val="00827B7C"/>
    <w:rsid w:val="00830F75"/>
    <w:rsid w:val="00833B98"/>
    <w:rsid w:val="00836134"/>
    <w:rsid w:val="0083666A"/>
    <w:rsid w:val="00836987"/>
    <w:rsid w:val="008400F3"/>
    <w:rsid w:val="0084012A"/>
    <w:rsid w:val="00841BD6"/>
    <w:rsid w:val="0084385E"/>
    <w:rsid w:val="00843AE6"/>
    <w:rsid w:val="00846953"/>
    <w:rsid w:val="0085004C"/>
    <w:rsid w:val="00850234"/>
    <w:rsid w:val="00850E22"/>
    <w:rsid w:val="00850ECE"/>
    <w:rsid w:val="00851268"/>
    <w:rsid w:val="0085363A"/>
    <w:rsid w:val="0085392E"/>
    <w:rsid w:val="00855A21"/>
    <w:rsid w:val="00860D7F"/>
    <w:rsid w:val="00860E1F"/>
    <w:rsid w:val="00865214"/>
    <w:rsid w:val="0087026E"/>
    <w:rsid w:val="00871491"/>
    <w:rsid w:val="008716AB"/>
    <w:rsid w:val="00871CDA"/>
    <w:rsid w:val="00872E1B"/>
    <w:rsid w:val="0087421E"/>
    <w:rsid w:val="00875451"/>
    <w:rsid w:val="00875833"/>
    <w:rsid w:val="008859A4"/>
    <w:rsid w:val="00885A1A"/>
    <w:rsid w:val="008862E2"/>
    <w:rsid w:val="00886B66"/>
    <w:rsid w:val="008904F1"/>
    <w:rsid w:val="00891BBD"/>
    <w:rsid w:val="0089399E"/>
    <w:rsid w:val="00893EC8"/>
    <w:rsid w:val="00895578"/>
    <w:rsid w:val="008A0123"/>
    <w:rsid w:val="008A087D"/>
    <w:rsid w:val="008A36FF"/>
    <w:rsid w:val="008A69BA"/>
    <w:rsid w:val="008A6DBB"/>
    <w:rsid w:val="008B14F2"/>
    <w:rsid w:val="008B3623"/>
    <w:rsid w:val="008B5807"/>
    <w:rsid w:val="008B5D58"/>
    <w:rsid w:val="008B7BA4"/>
    <w:rsid w:val="008C22C0"/>
    <w:rsid w:val="008C25B6"/>
    <w:rsid w:val="008C3F34"/>
    <w:rsid w:val="008C5117"/>
    <w:rsid w:val="008C6750"/>
    <w:rsid w:val="008D3503"/>
    <w:rsid w:val="008F1990"/>
    <w:rsid w:val="008F1D90"/>
    <w:rsid w:val="008F31E6"/>
    <w:rsid w:val="008F3887"/>
    <w:rsid w:val="0090252A"/>
    <w:rsid w:val="00902B6E"/>
    <w:rsid w:val="00903D1A"/>
    <w:rsid w:val="00904B0B"/>
    <w:rsid w:val="0090616C"/>
    <w:rsid w:val="0091077E"/>
    <w:rsid w:val="00915553"/>
    <w:rsid w:val="00916919"/>
    <w:rsid w:val="00916DB5"/>
    <w:rsid w:val="0092093A"/>
    <w:rsid w:val="00923A8B"/>
    <w:rsid w:val="00923BF7"/>
    <w:rsid w:val="00931A1D"/>
    <w:rsid w:val="00931FFC"/>
    <w:rsid w:val="00932ADB"/>
    <w:rsid w:val="00933F05"/>
    <w:rsid w:val="009360C5"/>
    <w:rsid w:val="009412ED"/>
    <w:rsid w:val="00946DB9"/>
    <w:rsid w:val="009472A0"/>
    <w:rsid w:val="00951D80"/>
    <w:rsid w:val="009528D6"/>
    <w:rsid w:val="00960C9B"/>
    <w:rsid w:val="00961D6A"/>
    <w:rsid w:val="009631DB"/>
    <w:rsid w:val="009710D7"/>
    <w:rsid w:val="00974519"/>
    <w:rsid w:val="009808FC"/>
    <w:rsid w:val="00981395"/>
    <w:rsid w:val="0098322C"/>
    <w:rsid w:val="00983901"/>
    <w:rsid w:val="00983B3E"/>
    <w:rsid w:val="00983B4E"/>
    <w:rsid w:val="00984701"/>
    <w:rsid w:val="009855C2"/>
    <w:rsid w:val="0098643E"/>
    <w:rsid w:val="00992A6C"/>
    <w:rsid w:val="00993E79"/>
    <w:rsid w:val="00994287"/>
    <w:rsid w:val="009946F8"/>
    <w:rsid w:val="00996DAA"/>
    <w:rsid w:val="009A0394"/>
    <w:rsid w:val="009A0FF6"/>
    <w:rsid w:val="009A44FB"/>
    <w:rsid w:val="009A5700"/>
    <w:rsid w:val="009A6873"/>
    <w:rsid w:val="009B0250"/>
    <w:rsid w:val="009B02B5"/>
    <w:rsid w:val="009B14F2"/>
    <w:rsid w:val="009B1788"/>
    <w:rsid w:val="009B2B03"/>
    <w:rsid w:val="009B35D5"/>
    <w:rsid w:val="009B6A11"/>
    <w:rsid w:val="009B70A3"/>
    <w:rsid w:val="009C1504"/>
    <w:rsid w:val="009C366F"/>
    <w:rsid w:val="009C5EE2"/>
    <w:rsid w:val="009C686A"/>
    <w:rsid w:val="009C7AA3"/>
    <w:rsid w:val="009D5294"/>
    <w:rsid w:val="009D7366"/>
    <w:rsid w:val="009D748D"/>
    <w:rsid w:val="009E394C"/>
    <w:rsid w:val="009E4560"/>
    <w:rsid w:val="009E47BA"/>
    <w:rsid w:val="009E7CB3"/>
    <w:rsid w:val="009E7FD9"/>
    <w:rsid w:val="009F04BE"/>
    <w:rsid w:val="009F2391"/>
    <w:rsid w:val="009F5FDF"/>
    <w:rsid w:val="009F69D1"/>
    <w:rsid w:val="009F7577"/>
    <w:rsid w:val="009F7C11"/>
    <w:rsid w:val="00A038CE"/>
    <w:rsid w:val="00A11793"/>
    <w:rsid w:val="00A1421E"/>
    <w:rsid w:val="00A15C51"/>
    <w:rsid w:val="00A16AD1"/>
    <w:rsid w:val="00A203A8"/>
    <w:rsid w:val="00A21DAE"/>
    <w:rsid w:val="00A252F8"/>
    <w:rsid w:val="00A31270"/>
    <w:rsid w:val="00A32B2E"/>
    <w:rsid w:val="00A331F3"/>
    <w:rsid w:val="00A350D8"/>
    <w:rsid w:val="00A35BC3"/>
    <w:rsid w:val="00A44095"/>
    <w:rsid w:val="00A4685B"/>
    <w:rsid w:val="00A47754"/>
    <w:rsid w:val="00A52860"/>
    <w:rsid w:val="00A54730"/>
    <w:rsid w:val="00A5734C"/>
    <w:rsid w:val="00A576AE"/>
    <w:rsid w:val="00A57D67"/>
    <w:rsid w:val="00A6220C"/>
    <w:rsid w:val="00A6318E"/>
    <w:rsid w:val="00A63390"/>
    <w:rsid w:val="00A6472D"/>
    <w:rsid w:val="00A65DC5"/>
    <w:rsid w:val="00A6646F"/>
    <w:rsid w:val="00A669C5"/>
    <w:rsid w:val="00A74338"/>
    <w:rsid w:val="00A80710"/>
    <w:rsid w:val="00A80FD4"/>
    <w:rsid w:val="00A9092A"/>
    <w:rsid w:val="00A9786A"/>
    <w:rsid w:val="00AA24DA"/>
    <w:rsid w:val="00AA2EB2"/>
    <w:rsid w:val="00AA3DBD"/>
    <w:rsid w:val="00AA4646"/>
    <w:rsid w:val="00AA50F4"/>
    <w:rsid w:val="00AA5982"/>
    <w:rsid w:val="00AB005D"/>
    <w:rsid w:val="00AB301A"/>
    <w:rsid w:val="00AC12FC"/>
    <w:rsid w:val="00AC266A"/>
    <w:rsid w:val="00AC2ED8"/>
    <w:rsid w:val="00AC300F"/>
    <w:rsid w:val="00AC3B83"/>
    <w:rsid w:val="00AC3EDB"/>
    <w:rsid w:val="00AC4658"/>
    <w:rsid w:val="00AC7E10"/>
    <w:rsid w:val="00AD121A"/>
    <w:rsid w:val="00AD16C2"/>
    <w:rsid w:val="00AD2185"/>
    <w:rsid w:val="00AD4D57"/>
    <w:rsid w:val="00AD73D0"/>
    <w:rsid w:val="00AD7CA4"/>
    <w:rsid w:val="00AE0537"/>
    <w:rsid w:val="00AE145B"/>
    <w:rsid w:val="00AE193D"/>
    <w:rsid w:val="00AE64F5"/>
    <w:rsid w:val="00AE76AF"/>
    <w:rsid w:val="00AE7BAD"/>
    <w:rsid w:val="00AF075B"/>
    <w:rsid w:val="00AF16C7"/>
    <w:rsid w:val="00AF424F"/>
    <w:rsid w:val="00AF5305"/>
    <w:rsid w:val="00AF7017"/>
    <w:rsid w:val="00B02330"/>
    <w:rsid w:val="00B059AE"/>
    <w:rsid w:val="00B06FCD"/>
    <w:rsid w:val="00B10628"/>
    <w:rsid w:val="00B11859"/>
    <w:rsid w:val="00B1355B"/>
    <w:rsid w:val="00B17979"/>
    <w:rsid w:val="00B20061"/>
    <w:rsid w:val="00B21E5B"/>
    <w:rsid w:val="00B23155"/>
    <w:rsid w:val="00B26028"/>
    <w:rsid w:val="00B271DA"/>
    <w:rsid w:val="00B30122"/>
    <w:rsid w:val="00B301F0"/>
    <w:rsid w:val="00B32AEF"/>
    <w:rsid w:val="00B338EE"/>
    <w:rsid w:val="00B3580F"/>
    <w:rsid w:val="00B35D02"/>
    <w:rsid w:val="00B36B69"/>
    <w:rsid w:val="00B42B5A"/>
    <w:rsid w:val="00B451F6"/>
    <w:rsid w:val="00B465F3"/>
    <w:rsid w:val="00B46F51"/>
    <w:rsid w:val="00B53332"/>
    <w:rsid w:val="00B53539"/>
    <w:rsid w:val="00B57DDF"/>
    <w:rsid w:val="00B60372"/>
    <w:rsid w:val="00B6314A"/>
    <w:rsid w:val="00B63381"/>
    <w:rsid w:val="00B647EB"/>
    <w:rsid w:val="00B64B35"/>
    <w:rsid w:val="00B65EFA"/>
    <w:rsid w:val="00B67419"/>
    <w:rsid w:val="00B71488"/>
    <w:rsid w:val="00B74C1C"/>
    <w:rsid w:val="00B76A12"/>
    <w:rsid w:val="00B76B2D"/>
    <w:rsid w:val="00B82D96"/>
    <w:rsid w:val="00B86B72"/>
    <w:rsid w:val="00B86CAE"/>
    <w:rsid w:val="00B87980"/>
    <w:rsid w:val="00B92077"/>
    <w:rsid w:val="00B93E0C"/>
    <w:rsid w:val="00BA10F6"/>
    <w:rsid w:val="00BA3380"/>
    <w:rsid w:val="00BA3596"/>
    <w:rsid w:val="00BA6888"/>
    <w:rsid w:val="00BA7634"/>
    <w:rsid w:val="00BA7759"/>
    <w:rsid w:val="00BB3E61"/>
    <w:rsid w:val="00BB5F65"/>
    <w:rsid w:val="00BB6E4E"/>
    <w:rsid w:val="00BC0B42"/>
    <w:rsid w:val="00BC1979"/>
    <w:rsid w:val="00BC1B09"/>
    <w:rsid w:val="00BC28B1"/>
    <w:rsid w:val="00BC4975"/>
    <w:rsid w:val="00BC5031"/>
    <w:rsid w:val="00BC52ED"/>
    <w:rsid w:val="00BC5680"/>
    <w:rsid w:val="00BC6423"/>
    <w:rsid w:val="00BD4196"/>
    <w:rsid w:val="00BD5381"/>
    <w:rsid w:val="00BD62D3"/>
    <w:rsid w:val="00BD63AD"/>
    <w:rsid w:val="00BE0C1C"/>
    <w:rsid w:val="00BE5147"/>
    <w:rsid w:val="00BE5429"/>
    <w:rsid w:val="00BE6A3A"/>
    <w:rsid w:val="00BE79ED"/>
    <w:rsid w:val="00BF084B"/>
    <w:rsid w:val="00BF0AE8"/>
    <w:rsid w:val="00BF33B8"/>
    <w:rsid w:val="00BF5DF9"/>
    <w:rsid w:val="00C02E50"/>
    <w:rsid w:val="00C07D28"/>
    <w:rsid w:val="00C13ADD"/>
    <w:rsid w:val="00C14B7F"/>
    <w:rsid w:val="00C153C0"/>
    <w:rsid w:val="00C173D2"/>
    <w:rsid w:val="00C22FA0"/>
    <w:rsid w:val="00C23495"/>
    <w:rsid w:val="00C25F3B"/>
    <w:rsid w:val="00C25F3F"/>
    <w:rsid w:val="00C261E5"/>
    <w:rsid w:val="00C262AA"/>
    <w:rsid w:val="00C27BF7"/>
    <w:rsid w:val="00C3218B"/>
    <w:rsid w:val="00C32247"/>
    <w:rsid w:val="00C33313"/>
    <w:rsid w:val="00C36B5C"/>
    <w:rsid w:val="00C377CD"/>
    <w:rsid w:val="00C4235D"/>
    <w:rsid w:val="00C433A8"/>
    <w:rsid w:val="00C43C14"/>
    <w:rsid w:val="00C45E3A"/>
    <w:rsid w:val="00C472F8"/>
    <w:rsid w:val="00C50ADD"/>
    <w:rsid w:val="00C51190"/>
    <w:rsid w:val="00C54C8A"/>
    <w:rsid w:val="00C551F8"/>
    <w:rsid w:val="00C554AD"/>
    <w:rsid w:val="00C56490"/>
    <w:rsid w:val="00C57220"/>
    <w:rsid w:val="00C6106C"/>
    <w:rsid w:val="00C6225E"/>
    <w:rsid w:val="00C62F66"/>
    <w:rsid w:val="00C65896"/>
    <w:rsid w:val="00C66732"/>
    <w:rsid w:val="00C667EA"/>
    <w:rsid w:val="00C66A0B"/>
    <w:rsid w:val="00C66D88"/>
    <w:rsid w:val="00C67138"/>
    <w:rsid w:val="00C734FE"/>
    <w:rsid w:val="00C746FA"/>
    <w:rsid w:val="00C772B9"/>
    <w:rsid w:val="00C774AA"/>
    <w:rsid w:val="00C77D33"/>
    <w:rsid w:val="00C77DA6"/>
    <w:rsid w:val="00C8051C"/>
    <w:rsid w:val="00C83B0D"/>
    <w:rsid w:val="00C87ACD"/>
    <w:rsid w:val="00C913EB"/>
    <w:rsid w:val="00C92A18"/>
    <w:rsid w:val="00C95A1B"/>
    <w:rsid w:val="00C96FED"/>
    <w:rsid w:val="00CA07AC"/>
    <w:rsid w:val="00CA28C1"/>
    <w:rsid w:val="00CA51E6"/>
    <w:rsid w:val="00CA737D"/>
    <w:rsid w:val="00CB002C"/>
    <w:rsid w:val="00CB2434"/>
    <w:rsid w:val="00CB45A9"/>
    <w:rsid w:val="00CB464E"/>
    <w:rsid w:val="00CB4BA1"/>
    <w:rsid w:val="00CB673E"/>
    <w:rsid w:val="00CC0326"/>
    <w:rsid w:val="00CC2CD2"/>
    <w:rsid w:val="00CC4623"/>
    <w:rsid w:val="00CC6516"/>
    <w:rsid w:val="00CC74CB"/>
    <w:rsid w:val="00CC76E0"/>
    <w:rsid w:val="00CC7890"/>
    <w:rsid w:val="00CD04E7"/>
    <w:rsid w:val="00CD1336"/>
    <w:rsid w:val="00CD1380"/>
    <w:rsid w:val="00CD179E"/>
    <w:rsid w:val="00CD5034"/>
    <w:rsid w:val="00CD5177"/>
    <w:rsid w:val="00CD6241"/>
    <w:rsid w:val="00CE0976"/>
    <w:rsid w:val="00CE383B"/>
    <w:rsid w:val="00CE48C3"/>
    <w:rsid w:val="00CE4CC1"/>
    <w:rsid w:val="00CE6B76"/>
    <w:rsid w:val="00CF31F5"/>
    <w:rsid w:val="00CF4EA8"/>
    <w:rsid w:val="00CF6AB0"/>
    <w:rsid w:val="00CF6AC2"/>
    <w:rsid w:val="00D03E54"/>
    <w:rsid w:val="00D04746"/>
    <w:rsid w:val="00D0524E"/>
    <w:rsid w:val="00D0653F"/>
    <w:rsid w:val="00D06CC3"/>
    <w:rsid w:val="00D12BDE"/>
    <w:rsid w:val="00D13624"/>
    <w:rsid w:val="00D13E6A"/>
    <w:rsid w:val="00D15EA9"/>
    <w:rsid w:val="00D168C6"/>
    <w:rsid w:val="00D16DD7"/>
    <w:rsid w:val="00D21746"/>
    <w:rsid w:val="00D25080"/>
    <w:rsid w:val="00D32687"/>
    <w:rsid w:val="00D353D9"/>
    <w:rsid w:val="00D35F6E"/>
    <w:rsid w:val="00D36142"/>
    <w:rsid w:val="00D361EC"/>
    <w:rsid w:val="00D36476"/>
    <w:rsid w:val="00D4210E"/>
    <w:rsid w:val="00D44913"/>
    <w:rsid w:val="00D45A88"/>
    <w:rsid w:val="00D507C6"/>
    <w:rsid w:val="00D53CD3"/>
    <w:rsid w:val="00D549E0"/>
    <w:rsid w:val="00D60187"/>
    <w:rsid w:val="00D60415"/>
    <w:rsid w:val="00D60FE1"/>
    <w:rsid w:val="00D61337"/>
    <w:rsid w:val="00D62DAC"/>
    <w:rsid w:val="00D63EE7"/>
    <w:rsid w:val="00D65904"/>
    <w:rsid w:val="00D662B3"/>
    <w:rsid w:val="00D666FC"/>
    <w:rsid w:val="00D6681A"/>
    <w:rsid w:val="00D675EF"/>
    <w:rsid w:val="00D67993"/>
    <w:rsid w:val="00D707CC"/>
    <w:rsid w:val="00D715DB"/>
    <w:rsid w:val="00D733FE"/>
    <w:rsid w:val="00D75811"/>
    <w:rsid w:val="00D759B8"/>
    <w:rsid w:val="00D76EE3"/>
    <w:rsid w:val="00D8299C"/>
    <w:rsid w:val="00D84336"/>
    <w:rsid w:val="00D90527"/>
    <w:rsid w:val="00D908DA"/>
    <w:rsid w:val="00D92AD5"/>
    <w:rsid w:val="00D92D67"/>
    <w:rsid w:val="00D93978"/>
    <w:rsid w:val="00DA0F38"/>
    <w:rsid w:val="00DA15DF"/>
    <w:rsid w:val="00DA247E"/>
    <w:rsid w:val="00DA4C32"/>
    <w:rsid w:val="00DA4D2F"/>
    <w:rsid w:val="00DB00B7"/>
    <w:rsid w:val="00DB0FD0"/>
    <w:rsid w:val="00DB4162"/>
    <w:rsid w:val="00DB597D"/>
    <w:rsid w:val="00DB5DAD"/>
    <w:rsid w:val="00DB7C99"/>
    <w:rsid w:val="00DC11D3"/>
    <w:rsid w:val="00DC48B4"/>
    <w:rsid w:val="00DC533F"/>
    <w:rsid w:val="00DC6017"/>
    <w:rsid w:val="00DC6814"/>
    <w:rsid w:val="00DC7479"/>
    <w:rsid w:val="00DD143D"/>
    <w:rsid w:val="00DD61E4"/>
    <w:rsid w:val="00DE019B"/>
    <w:rsid w:val="00DE253A"/>
    <w:rsid w:val="00DE2727"/>
    <w:rsid w:val="00DE2B32"/>
    <w:rsid w:val="00DE2E6B"/>
    <w:rsid w:val="00DE365C"/>
    <w:rsid w:val="00DE3AD0"/>
    <w:rsid w:val="00DE7726"/>
    <w:rsid w:val="00DF074F"/>
    <w:rsid w:val="00DF1AC8"/>
    <w:rsid w:val="00DF20AA"/>
    <w:rsid w:val="00DF4454"/>
    <w:rsid w:val="00DF6356"/>
    <w:rsid w:val="00E01A1A"/>
    <w:rsid w:val="00E05F88"/>
    <w:rsid w:val="00E062E9"/>
    <w:rsid w:val="00E06FC8"/>
    <w:rsid w:val="00E128E3"/>
    <w:rsid w:val="00E13FEA"/>
    <w:rsid w:val="00E161F1"/>
    <w:rsid w:val="00E20A94"/>
    <w:rsid w:val="00E2164A"/>
    <w:rsid w:val="00E22317"/>
    <w:rsid w:val="00E24B5B"/>
    <w:rsid w:val="00E25428"/>
    <w:rsid w:val="00E34731"/>
    <w:rsid w:val="00E35B20"/>
    <w:rsid w:val="00E3605E"/>
    <w:rsid w:val="00E36A17"/>
    <w:rsid w:val="00E4188C"/>
    <w:rsid w:val="00E420EB"/>
    <w:rsid w:val="00E42CA0"/>
    <w:rsid w:val="00E45C3B"/>
    <w:rsid w:val="00E46E02"/>
    <w:rsid w:val="00E535A3"/>
    <w:rsid w:val="00E53617"/>
    <w:rsid w:val="00E53A89"/>
    <w:rsid w:val="00E53D38"/>
    <w:rsid w:val="00E56529"/>
    <w:rsid w:val="00E5685E"/>
    <w:rsid w:val="00E575B3"/>
    <w:rsid w:val="00E62B07"/>
    <w:rsid w:val="00E63BBD"/>
    <w:rsid w:val="00E63ED3"/>
    <w:rsid w:val="00E673FF"/>
    <w:rsid w:val="00E67A1F"/>
    <w:rsid w:val="00E73C14"/>
    <w:rsid w:val="00E7478D"/>
    <w:rsid w:val="00E74927"/>
    <w:rsid w:val="00E75336"/>
    <w:rsid w:val="00E75BFD"/>
    <w:rsid w:val="00E768AE"/>
    <w:rsid w:val="00E76C88"/>
    <w:rsid w:val="00E80C75"/>
    <w:rsid w:val="00E8383B"/>
    <w:rsid w:val="00E85CB5"/>
    <w:rsid w:val="00E85FE9"/>
    <w:rsid w:val="00E929A8"/>
    <w:rsid w:val="00EA0C3E"/>
    <w:rsid w:val="00EA1FE9"/>
    <w:rsid w:val="00EA67D9"/>
    <w:rsid w:val="00EB08AE"/>
    <w:rsid w:val="00EB2AC7"/>
    <w:rsid w:val="00EB2EBC"/>
    <w:rsid w:val="00EB322F"/>
    <w:rsid w:val="00EB5E96"/>
    <w:rsid w:val="00EC3FAC"/>
    <w:rsid w:val="00EC4B85"/>
    <w:rsid w:val="00EC595F"/>
    <w:rsid w:val="00ED09C9"/>
    <w:rsid w:val="00ED30D7"/>
    <w:rsid w:val="00ED3D0B"/>
    <w:rsid w:val="00ED6893"/>
    <w:rsid w:val="00ED751B"/>
    <w:rsid w:val="00EE05D9"/>
    <w:rsid w:val="00EE1909"/>
    <w:rsid w:val="00EE1B2A"/>
    <w:rsid w:val="00EE309B"/>
    <w:rsid w:val="00EE39C5"/>
    <w:rsid w:val="00EE4958"/>
    <w:rsid w:val="00EE50CC"/>
    <w:rsid w:val="00EE64BE"/>
    <w:rsid w:val="00EE6818"/>
    <w:rsid w:val="00EE6BDF"/>
    <w:rsid w:val="00EE76B4"/>
    <w:rsid w:val="00EF19B0"/>
    <w:rsid w:val="00EF2BAE"/>
    <w:rsid w:val="00EF40F9"/>
    <w:rsid w:val="00EF6631"/>
    <w:rsid w:val="00F04455"/>
    <w:rsid w:val="00F1045A"/>
    <w:rsid w:val="00F11497"/>
    <w:rsid w:val="00F13BF9"/>
    <w:rsid w:val="00F1519C"/>
    <w:rsid w:val="00F16F2D"/>
    <w:rsid w:val="00F2015F"/>
    <w:rsid w:val="00F2212C"/>
    <w:rsid w:val="00F24E58"/>
    <w:rsid w:val="00F2695B"/>
    <w:rsid w:val="00F26DDB"/>
    <w:rsid w:val="00F315FA"/>
    <w:rsid w:val="00F31D62"/>
    <w:rsid w:val="00F3343E"/>
    <w:rsid w:val="00F34B24"/>
    <w:rsid w:val="00F35D6B"/>
    <w:rsid w:val="00F35EE5"/>
    <w:rsid w:val="00F436DA"/>
    <w:rsid w:val="00F466FD"/>
    <w:rsid w:val="00F5363F"/>
    <w:rsid w:val="00F53C41"/>
    <w:rsid w:val="00F53D1F"/>
    <w:rsid w:val="00F54746"/>
    <w:rsid w:val="00F548B7"/>
    <w:rsid w:val="00F54F53"/>
    <w:rsid w:val="00F553E6"/>
    <w:rsid w:val="00F554B5"/>
    <w:rsid w:val="00F56C15"/>
    <w:rsid w:val="00F60C31"/>
    <w:rsid w:val="00F61C23"/>
    <w:rsid w:val="00F62DC4"/>
    <w:rsid w:val="00F633C0"/>
    <w:rsid w:val="00F64D8F"/>
    <w:rsid w:val="00F66A0C"/>
    <w:rsid w:val="00F67FE4"/>
    <w:rsid w:val="00F73A50"/>
    <w:rsid w:val="00F7426F"/>
    <w:rsid w:val="00F7465A"/>
    <w:rsid w:val="00F772C3"/>
    <w:rsid w:val="00F8261F"/>
    <w:rsid w:val="00F84232"/>
    <w:rsid w:val="00F84FD3"/>
    <w:rsid w:val="00F8631A"/>
    <w:rsid w:val="00F96DD7"/>
    <w:rsid w:val="00F9722A"/>
    <w:rsid w:val="00FA16BB"/>
    <w:rsid w:val="00FA1AAC"/>
    <w:rsid w:val="00FA450B"/>
    <w:rsid w:val="00FA485C"/>
    <w:rsid w:val="00FA5F28"/>
    <w:rsid w:val="00FA6671"/>
    <w:rsid w:val="00FA7DC2"/>
    <w:rsid w:val="00FB6036"/>
    <w:rsid w:val="00FB7EAB"/>
    <w:rsid w:val="00FC1048"/>
    <w:rsid w:val="00FC1F27"/>
    <w:rsid w:val="00FC3D91"/>
    <w:rsid w:val="00FC3EFF"/>
    <w:rsid w:val="00FC700E"/>
    <w:rsid w:val="00FC730E"/>
    <w:rsid w:val="00FD639E"/>
    <w:rsid w:val="00FD6A06"/>
    <w:rsid w:val="00FD7B5B"/>
    <w:rsid w:val="00FD7F62"/>
    <w:rsid w:val="00FE0D61"/>
    <w:rsid w:val="00FE1E42"/>
    <w:rsid w:val="00FE4168"/>
    <w:rsid w:val="00FE4301"/>
    <w:rsid w:val="00FE54A8"/>
    <w:rsid w:val="00FE5843"/>
    <w:rsid w:val="00FE5AD8"/>
    <w:rsid w:val="00FE5F1F"/>
    <w:rsid w:val="00FF0188"/>
    <w:rsid w:val="00FF02DE"/>
    <w:rsid w:val="00FF1743"/>
    <w:rsid w:val="00FF2970"/>
    <w:rsid w:val="00FF3BF7"/>
    <w:rsid w:val="00FF462F"/>
    <w:rsid w:val="00FF7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2A47"/>
  <w15:docId w15:val="{7E7C04CA-9B53-402F-AFFC-D8BBAC9A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14"/>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5520"/>
    <w:pPr>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2C78E4"/>
    <w:pPr>
      <w:tabs>
        <w:tab w:val="center" w:pos="4536"/>
        <w:tab w:val="right" w:pos="9072"/>
      </w:tabs>
    </w:pPr>
  </w:style>
  <w:style w:type="character" w:customStyle="1" w:styleId="stBilgiChar">
    <w:name w:val="Üst Bilgi Char"/>
    <w:basedOn w:val="VarsaylanParagrafYazTipi"/>
    <w:link w:val="stBilgi"/>
    <w:uiPriority w:val="99"/>
    <w:rsid w:val="002C78E4"/>
    <w:rPr>
      <w:rFonts w:ascii="Times New Roman" w:eastAsia="Times New Roman" w:hAnsi="Times New Roman" w:cs="Times New Roman"/>
    </w:rPr>
  </w:style>
  <w:style w:type="paragraph" w:styleId="AltBilgi">
    <w:name w:val="footer"/>
    <w:basedOn w:val="Normal"/>
    <w:link w:val="AltBilgiChar"/>
    <w:uiPriority w:val="99"/>
    <w:unhideWhenUsed/>
    <w:rsid w:val="002C78E4"/>
    <w:pPr>
      <w:tabs>
        <w:tab w:val="center" w:pos="4536"/>
        <w:tab w:val="right" w:pos="9072"/>
      </w:tabs>
    </w:pPr>
  </w:style>
  <w:style w:type="character" w:customStyle="1" w:styleId="AltBilgiChar">
    <w:name w:val="Alt Bilgi Char"/>
    <w:basedOn w:val="VarsaylanParagrafYazTipi"/>
    <w:link w:val="AltBilgi"/>
    <w:uiPriority w:val="99"/>
    <w:rsid w:val="002C78E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662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62B3"/>
    <w:rPr>
      <w:rFonts w:ascii="Segoe UI" w:eastAsia="Times New Roman" w:hAnsi="Segoe UI" w:cs="Segoe UI"/>
      <w:sz w:val="18"/>
      <w:szCs w:val="18"/>
    </w:rPr>
  </w:style>
  <w:style w:type="paragraph" w:customStyle="1" w:styleId="Default">
    <w:name w:val="Default"/>
    <w:rsid w:val="00D36142"/>
    <w:pPr>
      <w:autoSpaceDE w:val="0"/>
      <w:autoSpaceDN w:val="0"/>
      <w:adjustRightInd w:val="0"/>
    </w:pPr>
    <w:rPr>
      <w:rFonts w:ascii="Calibri" w:hAnsi="Calibri" w:cs="Calibri"/>
      <w:color w:val="000000"/>
    </w:rPr>
  </w:style>
  <w:style w:type="character" w:styleId="AklamaBavurusu">
    <w:name w:val="annotation reference"/>
    <w:basedOn w:val="VarsaylanParagrafYazTipi"/>
    <w:uiPriority w:val="99"/>
    <w:semiHidden/>
    <w:unhideWhenUsed/>
    <w:rsid w:val="0074693A"/>
    <w:rPr>
      <w:sz w:val="16"/>
      <w:szCs w:val="16"/>
    </w:rPr>
  </w:style>
  <w:style w:type="paragraph" w:styleId="AklamaMetni">
    <w:name w:val="annotation text"/>
    <w:basedOn w:val="Normal"/>
    <w:link w:val="AklamaMetniChar"/>
    <w:uiPriority w:val="99"/>
    <w:semiHidden/>
    <w:unhideWhenUsed/>
    <w:rsid w:val="0074693A"/>
    <w:rPr>
      <w:sz w:val="20"/>
      <w:szCs w:val="20"/>
    </w:rPr>
  </w:style>
  <w:style w:type="character" w:customStyle="1" w:styleId="AklamaMetniChar">
    <w:name w:val="Açıklama Metni Char"/>
    <w:basedOn w:val="VarsaylanParagrafYazTipi"/>
    <w:link w:val="AklamaMetni"/>
    <w:uiPriority w:val="99"/>
    <w:semiHidden/>
    <w:rsid w:val="0074693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4693A"/>
    <w:rPr>
      <w:b/>
      <w:bCs/>
    </w:rPr>
  </w:style>
  <w:style w:type="character" w:customStyle="1" w:styleId="AklamaKonusuChar">
    <w:name w:val="Açıklama Konusu Char"/>
    <w:basedOn w:val="AklamaMetniChar"/>
    <w:link w:val="AklamaKonusu"/>
    <w:uiPriority w:val="99"/>
    <w:semiHidden/>
    <w:rsid w:val="007469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8115">
      <w:bodyDiv w:val="1"/>
      <w:marLeft w:val="0"/>
      <w:marRight w:val="0"/>
      <w:marTop w:val="0"/>
      <w:marBottom w:val="0"/>
      <w:divBdr>
        <w:top w:val="none" w:sz="0" w:space="0" w:color="auto"/>
        <w:left w:val="none" w:sz="0" w:space="0" w:color="auto"/>
        <w:bottom w:val="none" w:sz="0" w:space="0" w:color="auto"/>
        <w:right w:val="none" w:sz="0" w:space="0" w:color="auto"/>
      </w:divBdr>
    </w:div>
    <w:div w:id="168371613">
      <w:bodyDiv w:val="1"/>
      <w:marLeft w:val="0"/>
      <w:marRight w:val="0"/>
      <w:marTop w:val="0"/>
      <w:marBottom w:val="0"/>
      <w:divBdr>
        <w:top w:val="none" w:sz="0" w:space="0" w:color="auto"/>
        <w:left w:val="none" w:sz="0" w:space="0" w:color="auto"/>
        <w:bottom w:val="none" w:sz="0" w:space="0" w:color="auto"/>
        <w:right w:val="none" w:sz="0" w:space="0" w:color="auto"/>
      </w:divBdr>
    </w:div>
    <w:div w:id="202376814">
      <w:bodyDiv w:val="1"/>
      <w:marLeft w:val="0"/>
      <w:marRight w:val="0"/>
      <w:marTop w:val="0"/>
      <w:marBottom w:val="0"/>
      <w:divBdr>
        <w:top w:val="none" w:sz="0" w:space="0" w:color="auto"/>
        <w:left w:val="none" w:sz="0" w:space="0" w:color="auto"/>
        <w:bottom w:val="none" w:sz="0" w:space="0" w:color="auto"/>
        <w:right w:val="none" w:sz="0" w:space="0" w:color="auto"/>
      </w:divBdr>
    </w:div>
    <w:div w:id="325136441">
      <w:bodyDiv w:val="1"/>
      <w:marLeft w:val="0"/>
      <w:marRight w:val="0"/>
      <w:marTop w:val="0"/>
      <w:marBottom w:val="0"/>
      <w:divBdr>
        <w:top w:val="none" w:sz="0" w:space="0" w:color="auto"/>
        <w:left w:val="none" w:sz="0" w:space="0" w:color="auto"/>
        <w:bottom w:val="none" w:sz="0" w:space="0" w:color="auto"/>
        <w:right w:val="none" w:sz="0" w:space="0" w:color="auto"/>
      </w:divBdr>
    </w:div>
    <w:div w:id="741218137">
      <w:bodyDiv w:val="1"/>
      <w:marLeft w:val="0"/>
      <w:marRight w:val="0"/>
      <w:marTop w:val="0"/>
      <w:marBottom w:val="0"/>
      <w:divBdr>
        <w:top w:val="none" w:sz="0" w:space="0" w:color="auto"/>
        <w:left w:val="none" w:sz="0" w:space="0" w:color="auto"/>
        <w:bottom w:val="none" w:sz="0" w:space="0" w:color="auto"/>
        <w:right w:val="none" w:sz="0" w:space="0" w:color="auto"/>
      </w:divBdr>
    </w:div>
    <w:div w:id="9968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0D0BA-CD9D-44DD-BDB1-2100AAFE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2740</Words>
  <Characters>15624</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Erdem Biçer</cp:lastModifiedBy>
  <cp:revision>4</cp:revision>
  <cp:lastPrinted>2023-08-07T07:38:00Z</cp:lastPrinted>
  <dcterms:created xsi:type="dcterms:W3CDTF">2023-09-13T12:06:00Z</dcterms:created>
  <dcterms:modified xsi:type="dcterms:W3CDTF">2023-09-14T14:11:00Z</dcterms:modified>
</cp:coreProperties>
</file>