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24" w:rsidRPr="008A79DD" w:rsidRDefault="00154624" w:rsidP="00D34B4A">
      <w:pPr>
        <w:pStyle w:val="Title"/>
        <w:rPr>
          <w:rFonts w:ascii="Arial" w:hAnsi="Arial" w:cs="Arial"/>
          <w:color w:val="000000" w:themeColor="text1"/>
          <w:sz w:val="28"/>
          <w:szCs w:val="28"/>
        </w:rPr>
      </w:pPr>
      <w:r w:rsidRPr="008A79DD">
        <w:rPr>
          <w:rFonts w:ascii="Arial" w:hAnsi="Arial" w:cs="Arial"/>
          <w:color w:val="000000" w:themeColor="text1"/>
          <w:sz w:val="28"/>
          <w:szCs w:val="28"/>
        </w:rPr>
        <w:t>Borsa İstanbul’da</w:t>
      </w:r>
      <w:r w:rsidR="00D734D4" w:rsidRPr="008A79DD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Pr="008A79DD">
        <w:rPr>
          <w:rFonts w:ascii="Arial" w:hAnsi="Arial" w:cs="Arial"/>
          <w:color w:val="000000" w:themeColor="text1"/>
          <w:sz w:val="28"/>
          <w:szCs w:val="28"/>
        </w:rPr>
        <w:t>BIST</w:t>
      </w:r>
      <w:r w:rsidR="00D734D4" w:rsidRPr="008A79DD">
        <w:rPr>
          <w:rFonts w:ascii="Arial" w:hAnsi="Arial" w:cs="Arial"/>
          <w:color w:val="000000" w:themeColor="text1"/>
          <w:sz w:val="28"/>
          <w:szCs w:val="28"/>
        </w:rPr>
        <w:t>)</w:t>
      </w:r>
      <w:r w:rsidR="007060EC" w:rsidRPr="008A79DD">
        <w:rPr>
          <w:rFonts w:ascii="Arial" w:hAnsi="Arial" w:cs="Arial"/>
          <w:color w:val="000000" w:themeColor="text1"/>
          <w:sz w:val="28"/>
          <w:szCs w:val="28"/>
        </w:rPr>
        <w:t xml:space="preserve"> İşlem Gören Mevduat Bankaları, </w:t>
      </w:r>
    </w:p>
    <w:p w:rsidR="00544DFA" w:rsidRPr="008A79DD" w:rsidRDefault="00EF08E7" w:rsidP="00D34B4A">
      <w:pPr>
        <w:pStyle w:val="Title"/>
        <w:rPr>
          <w:rFonts w:ascii="Arial" w:hAnsi="Arial" w:cs="Arial"/>
          <w:color w:val="000000" w:themeColor="text1"/>
          <w:sz w:val="28"/>
          <w:szCs w:val="28"/>
        </w:rPr>
      </w:pPr>
      <w:r w:rsidRPr="008A79DD">
        <w:rPr>
          <w:rFonts w:ascii="Arial" w:hAnsi="Arial" w:cs="Arial"/>
          <w:color w:val="000000" w:themeColor="text1"/>
          <w:sz w:val="28"/>
          <w:szCs w:val="28"/>
        </w:rPr>
        <w:t>Aralık</w:t>
      </w:r>
      <w:r w:rsidR="00367936" w:rsidRPr="008A79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060EC" w:rsidRPr="008A79DD">
        <w:rPr>
          <w:rFonts w:ascii="Arial" w:hAnsi="Arial" w:cs="Arial"/>
          <w:color w:val="000000" w:themeColor="text1"/>
          <w:sz w:val="28"/>
          <w:szCs w:val="28"/>
        </w:rPr>
        <w:t>20</w:t>
      </w:r>
      <w:r w:rsidR="00290CE8" w:rsidRPr="008A79DD">
        <w:rPr>
          <w:rFonts w:ascii="Arial" w:hAnsi="Arial" w:cs="Arial"/>
          <w:color w:val="000000" w:themeColor="text1"/>
          <w:sz w:val="28"/>
          <w:szCs w:val="28"/>
        </w:rPr>
        <w:t>1</w:t>
      </w:r>
      <w:r w:rsidR="00A9703F" w:rsidRPr="008A79DD">
        <w:rPr>
          <w:rFonts w:ascii="Arial" w:hAnsi="Arial" w:cs="Arial"/>
          <w:color w:val="000000" w:themeColor="text1"/>
          <w:sz w:val="28"/>
          <w:szCs w:val="28"/>
        </w:rPr>
        <w:t>5</w:t>
      </w:r>
      <w:r w:rsidR="00932962" w:rsidRPr="008A79DD">
        <w:rPr>
          <w:rStyle w:val="FootnoteReference"/>
          <w:rFonts w:ascii="Arial" w:hAnsi="Arial" w:cs="Arial"/>
          <w:color w:val="000000" w:themeColor="text1"/>
          <w:sz w:val="28"/>
          <w:szCs w:val="28"/>
        </w:rPr>
        <w:footnoteReference w:id="1"/>
      </w:r>
    </w:p>
    <w:p w:rsidR="004440D6" w:rsidRPr="008A79DD" w:rsidRDefault="004440D6" w:rsidP="00544DFA">
      <w:pPr>
        <w:pStyle w:val="Subtitle"/>
        <w:rPr>
          <w:rFonts w:ascii="Arial" w:hAnsi="Arial" w:cs="Arial"/>
          <w:color w:val="000000" w:themeColor="text1"/>
          <w:szCs w:val="24"/>
        </w:rPr>
      </w:pPr>
      <w:bookmarkStart w:id="0" w:name="OLE_LINK3"/>
      <w:bookmarkStart w:id="1" w:name="OLE_LINK4"/>
    </w:p>
    <w:p w:rsidR="00544DFA" w:rsidRPr="008A79DD" w:rsidRDefault="00D34B4A" w:rsidP="00544DFA">
      <w:pPr>
        <w:pStyle w:val="Subtitle"/>
        <w:rPr>
          <w:rFonts w:ascii="Arial" w:hAnsi="Arial" w:cs="Arial"/>
          <w:color w:val="000000" w:themeColor="text1"/>
          <w:szCs w:val="24"/>
        </w:rPr>
      </w:pPr>
      <w:r w:rsidRPr="008A79DD">
        <w:rPr>
          <w:rFonts w:ascii="Arial" w:hAnsi="Arial" w:cs="Arial"/>
          <w:color w:val="000000" w:themeColor="text1"/>
          <w:szCs w:val="24"/>
        </w:rPr>
        <w:t>1</w:t>
      </w:r>
      <w:r w:rsidR="00A97252" w:rsidRPr="008A79DD">
        <w:rPr>
          <w:rFonts w:ascii="Arial" w:hAnsi="Arial" w:cs="Arial"/>
          <w:color w:val="000000" w:themeColor="text1"/>
          <w:szCs w:val="24"/>
        </w:rPr>
        <w:t xml:space="preserve">. </w:t>
      </w:r>
      <w:r w:rsidR="00154624" w:rsidRPr="008A79DD">
        <w:rPr>
          <w:rFonts w:ascii="Arial" w:hAnsi="Arial" w:cs="Arial"/>
          <w:color w:val="000000" w:themeColor="text1"/>
          <w:szCs w:val="24"/>
        </w:rPr>
        <w:t>BIST</w:t>
      </w:r>
      <w:r w:rsidR="00544DFA" w:rsidRPr="008A79DD">
        <w:rPr>
          <w:rFonts w:ascii="Arial" w:hAnsi="Arial" w:cs="Arial"/>
          <w:color w:val="000000" w:themeColor="text1"/>
          <w:szCs w:val="24"/>
        </w:rPr>
        <w:t>’de İ</w:t>
      </w:r>
      <w:r w:rsidR="002C5A1A" w:rsidRPr="008A79DD">
        <w:rPr>
          <w:rFonts w:ascii="Arial" w:hAnsi="Arial" w:cs="Arial"/>
          <w:color w:val="000000" w:themeColor="text1"/>
          <w:szCs w:val="24"/>
        </w:rPr>
        <w:t>şlem Gören Mevduat Bankalarının</w:t>
      </w:r>
      <w:r w:rsidR="00544DFA" w:rsidRPr="008A79DD">
        <w:rPr>
          <w:rFonts w:ascii="Arial" w:hAnsi="Arial" w:cs="Arial"/>
          <w:color w:val="000000" w:themeColor="text1"/>
          <w:szCs w:val="24"/>
        </w:rPr>
        <w:t xml:space="preserve"> Bankacılık Sektörü İçindeki Yeri</w:t>
      </w:r>
    </w:p>
    <w:p w:rsidR="00544DFA" w:rsidRPr="008A79DD" w:rsidRDefault="00544DFA" w:rsidP="00544DFA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44DFA" w:rsidRPr="008A79DD" w:rsidRDefault="002A3E62" w:rsidP="00544DFA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Aralık</w:t>
      </w:r>
      <w:r w:rsidR="00F2329B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2015</w:t>
      </w:r>
      <w:r w:rsidR="00544DF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itibariyle, </w:t>
      </w:r>
      <w:r w:rsidR="0070101B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BIST</w:t>
      </w:r>
      <w:r w:rsidR="00544DF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’de işlem gören mevduat banka</w:t>
      </w:r>
      <w:r w:rsidR="005B7650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sı sayısı 10</w:t>
      </w:r>
      <w:r w:rsidR="00544DF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olmuştur.</w:t>
      </w:r>
      <w:r w:rsidR="00DF1B8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Bu bankalar,</w:t>
      </w:r>
      <w:r w:rsidR="004D17D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01F6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7</w:t>
      </w:r>
      <w:r w:rsidR="00D5004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901F6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8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07</w:t>
      </w:r>
      <w:r w:rsidR="00AD1B4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şube </w:t>
      </w:r>
      <w:r w:rsidR="00901F6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ve 14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0</w:t>
      </w:r>
      <w:r w:rsidR="00D5004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467</w:t>
      </w:r>
      <w:r w:rsidR="00544DF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personel ile sektördeki </w:t>
      </w:r>
      <w:r w:rsidR="006D04A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şubelerin </w:t>
      </w:r>
      <w:r w:rsidR="0070101B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yüzde </w:t>
      </w:r>
      <w:r w:rsidR="00901F6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70</w:t>
      </w:r>
      <w:r w:rsidR="0048538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’</w:t>
      </w:r>
      <w:r w:rsidR="00901F6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ine</w:t>
      </w:r>
      <w:r w:rsidR="00BF033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72685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sahipti</w:t>
      </w:r>
      <w:r w:rsidR="00005663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r</w:t>
      </w:r>
      <w:r w:rsidR="0072685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ler ve </w:t>
      </w:r>
      <w:r w:rsidR="006D04A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personelin </w:t>
      </w:r>
      <w:r w:rsidR="001E4019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de </w:t>
      </w:r>
      <w:r w:rsidR="006D04A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yüzde </w:t>
      </w:r>
      <w:r w:rsidR="00901F6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7</w:t>
      </w:r>
      <w:r w:rsidR="00FB3710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2</w:t>
      </w:r>
      <w:r w:rsidR="002F24C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’</w:t>
      </w:r>
      <w:r w:rsidR="00FB3710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="002F24C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ini</w:t>
      </w:r>
      <w:r w:rsidR="0072685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istihdam etmektedirler.</w:t>
      </w:r>
      <w:r w:rsidR="00544DF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72685A" w:rsidRPr="008A79DD" w:rsidRDefault="0072685A" w:rsidP="00544DFA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44DFA" w:rsidRPr="008A79DD" w:rsidRDefault="0070101B" w:rsidP="00544DFA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BIST</w:t>
      </w:r>
      <w:r w:rsidR="00544DF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’de işlem gören mevduat bankalarının, 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Aralık</w:t>
      </w:r>
      <w:r w:rsidR="0032363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201</w:t>
      </w:r>
      <w:r w:rsidR="00E015D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  <w:r w:rsidR="00544DF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itibariyle, sektör toplam </w:t>
      </w:r>
      <w:r w:rsidR="008A402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aktifleri içindeki payı 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bir önceki yıla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göre 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değişmeyerek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A402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yüzde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70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olurken, </w:t>
      </w:r>
      <w:r w:rsidR="00544DF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toplam</w:t>
      </w:r>
      <w:r w:rsidR="0060121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kredil</w:t>
      </w:r>
      <w:r w:rsidR="00694C70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er içindeki payı yüzde 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71</w:t>
      </w:r>
      <w:r w:rsidR="00544DF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ve topla</w:t>
      </w:r>
      <w:r w:rsidR="00710A7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 mevduat içindeki payı yüzde </w:t>
      </w:r>
      <w:r w:rsidR="00F60E49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7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7</w:t>
      </w:r>
      <w:r w:rsidR="00544DF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olmuştur.</w:t>
      </w:r>
    </w:p>
    <w:p w:rsidR="00544DFA" w:rsidRPr="008A79DD" w:rsidRDefault="00544DFA" w:rsidP="00544DF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73BB1" w:rsidRPr="008A79DD" w:rsidRDefault="005839EF" w:rsidP="00373BB1">
      <w:pPr>
        <w:pStyle w:val="Subtitle"/>
        <w:rPr>
          <w:rFonts w:ascii="Arial" w:hAnsi="Arial" w:cs="Arial"/>
          <w:color w:val="000000" w:themeColor="text1"/>
          <w:szCs w:val="24"/>
        </w:rPr>
      </w:pPr>
      <w:r w:rsidRPr="008A79DD">
        <w:rPr>
          <w:rFonts w:ascii="Arial" w:hAnsi="Arial" w:cs="Arial"/>
          <w:color w:val="000000" w:themeColor="text1"/>
          <w:szCs w:val="24"/>
        </w:rPr>
        <w:t>2</w:t>
      </w:r>
      <w:r w:rsidR="00A97252" w:rsidRPr="008A79DD">
        <w:rPr>
          <w:rFonts w:ascii="Arial" w:hAnsi="Arial" w:cs="Arial"/>
          <w:color w:val="000000" w:themeColor="text1"/>
          <w:szCs w:val="24"/>
        </w:rPr>
        <w:t xml:space="preserve">. </w:t>
      </w:r>
      <w:r w:rsidR="0070101B" w:rsidRPr="008A79DD">
        <w:rPr>
          <w:rFonts w:ascii="Arial" w:hAnsi="Arial" w:cs="Arial"/>
          <w:color w:val="000000" w:themeColor="text1"/>
          <w:szCs w:val="24"/>
        </w:rPr>
        <w:t>BIST</w:t>
      </w:r>
      <w:r w:rsidR="00373BB1" w:rsidRPr="008A79DD">
        <w:rPr>
          <w:rFonts w:ascii="Arial" w:hAnsi="Arial" w:cs="Arial"/>
          <w:color w:val="000000" w:themeColor="text1"/>
          <w:szCs w:val="24"/>
        </w:rPr>
        <w:t>’de İşlem Gören Mevduat Bankalarındaki Gelişmeler</w:t>
      </w:r>
    </w:p>
    <w:p w:rsidR="00373BB1" w:rsidRPr="008A79DD" w:rsidRDefault="00373BB1" w:rsidP="00373BB1">
      <w:pPr>
        <w:pStyle w:val="Subtitle"/>
        <w:rPr>
          <w:rFonts w:ascii="Arial" w:hAnsi="Arial" w:cs="Arial"/>
          <w:color w:val="000000" w:themeColor="text1"/>
          <w:sz w:val="22"/>
          <w:szCs w:val="22"/>
        </w:rPr>
      </w:pPr>
    </w:p>
    <w:p w:rsidR="00373BB1" w:rsidRPr="008A79DD" w:rsidRDefault="0070101B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BIST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’de işlem gören mevduat bankalarının toplam aktifleri</w:t>
      </w:r>
      <w:r w:rsidR="00583A9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Aralık</w:t>
      </w:r>
      <w:r w:rsidR="00FF484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52173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2015</w:t>
      </w:r>
      <w:r w:rsidR="00583A9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itibariyle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bir yıl önceye göre yüzde 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17</w:t>
      </w:r>
      <w:r w:rsidR="0069440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artarak, </w:t>
      </w:r>
      <w:r w:rsidR="00EC68B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="00FF484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57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milyar TL’ye yükselmiştir. </w:t>
      </w:r>
    </w:p>
    <w:p w:rsidR="00373BB1" w:rsidRPr="008A79DD" w:rsidRDefault="00373BB1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373BB1" w:rsidRPr="008A79DD" w:rsidRDefault="008F3C60" w:rsidP="00373BB1">
      <w:pPr>
        <w:pStyle w:val="Subtitle"/>
        <w:jc w:val="center"/>
        <w:rPr>
          <w:rFonts w:ascii="Arial" w:hAnsi="Arial" w:cs="Arial"/>
          <w:color w:val="000000" w:themeColor="text1"/>
          <w:szCs w:val="24"/>
        </w:rPr>
      </w:pPr>
      <w:r w:rsidRPr="008A79DD">
        <w:rPr>
          <w:rFonts w:ascii="Arial" w:hAnsi="Arial" w:cs="Arial"/>
          <w:color w:val="000000" w:themeColor="text1"/>
          <w:szCs w:val="24"/>
        </w:rPr>
        <w:t xml:space="preserve">Bilanço </w:t>
      </w:r>
      <w:r w:rsidR="00373BB1" w:rsidRPr="008A79DD">
        <w:rPr>
          <w:rFonts w:ascii="Arial" w:hAnsi="Arial" w:cs="Arial"/>
          <w:color w:val="000000" w:themeColor="text1"/>
          <w:szCs w:val="24"/>
        </w:rPr>
        <w:t>Gelişmeler</w:t>
      </w:r>
      <w:r w:rsidRPr="008A79DD">
        <w:rPr>
          <w:rFonts w:ascii="Arial" w:hAnsi="Arial" w:cs="Arial"/>
          <w:color w:val="000000" w:themeColor="text1"/>
          <w:szCs w:val="24"/>
        </w:rPr>
        <w:t>i</w:t>
      </w:r>
      <w:r w:rsidR="00373BB1" w:rsidRPr="008A79DD">
        <w:rPr>
          <w:rFonts w:ascii="Arial" w:hAnsi="Arial" w:cs="Arial"/>
          <w:color w:val="000000" w:themeColor="text1"/>
          <w:szCs w:val="24"/>
        </w:rPr>
        <w:t xml:space="preserve"> (Milyon TL)</w:t>
      </w:r>
    </w:p>
    <w:p w:rsidR="008F3C60" w:rsidRPr="008A79DD" w:rsidRDefault="008F3C60" w:rsidP="00373BB1">
      <w:pPr>
        <w:pStyle w:val="Subtitle"/>
        <w:jc w:val="center"/>
        <w:rPr>
          <w:rFonts w:ascii="Arial" w:hAnsi="Arial" w:cs="Arial"/>
          <w:color w:val="000000" w:themeColor="text1"/>
          <w:szCs w:val="24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464"/>
        <w:gridCol w:w="1276"/>
        <w:gridCol w:w="1276"/>
        <w:gridCol w:w="1134"/>
      </w:tblGrid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Ara-14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Ara-15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Yıllık yüzde değişme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Yüzde pay           Ara-15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Likit aktifler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91024E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182</w:t>
            </w:r>
            <w:r w:rsidR="008F3C60"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.</w:t>
            </w: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213.421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91024E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14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Menkul değerler cüzdanı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91024E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234</w:t>
            </w:r>
            <w:r w:rsidR="008F3C60"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.</w:t>
            </w: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258.045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91024E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17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Krediler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855.028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1.007.563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65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 xml:space="preserve"> -Takipteki krediler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25.476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34.007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 xml:space="preserve"> -Özel karşılıklar (-)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19.904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26.886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Toplam aktifler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1.326.507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1.556.934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100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 xml:space="preserve">  TL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851.936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952.991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61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 xml:space="preserve">  YP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474.571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603.942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39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Mevduat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769.041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904.900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58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Mevduat dışı kaynaklar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305.738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375867" w:rsidRDefault="00375867" w:rsidP="0037586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358.497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375867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</w:t>
            </w:r>
            <w:r w:rsidR="00375867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3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Özkaynaklar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148.122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169.391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11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 xml:space="preserve">  Dönem Kar/zararı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17.226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17.144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Toplam Pasifler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1.326.507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1.556.934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100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 xml:space="preserve">  TL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766.192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852.433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55</w:t>
            </w:r>
          </w:p>
        </w:tc>
      </w:tr>
      <w:tr w:rsidR="008A79DD" w:rsidRPr="008A79DD" w:rsidTr="008F3C60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 xml:space="preserve">  YP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560.315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704.500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C60" w:rsidRPr="008A79DD" w:rsidRDefault="008F3C60" w:rsidP="008F3C6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45</w:t>
            </w:r>
          </w:p>
        </w:tc>
      </w:tr>
    </w:tbl>
    <w:p w:rsidR="008F3C60" w:rsidRPr="008A79DD" w:rsidRDefault="008F3C60" w:rsidP="00373BB1">
      <w:pPr>
        <w:pStyle w:val="Subtitle"/>
        <w:jc w:val="center"/>
        <w:rPr>
          <w:rFonts w:ascii="Arial" w:hAnsi="Arial" w:cs="Arial"/>
          <w:color w:val="000000" w:themeColor="text1"/>
          <w:szCs w:val="24"/>
        </w:rPr>
      </w:pPr>
    </w:p>
    <w:p w:rsidR="002A3E62" w:rsidRPr="008A79DD" w:rsidRDefault="002205CD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2015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yılında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A4454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likit aktifler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bir önceki yıla göre yüzde</w:t>
      </w:r>
      <w:r w:rsidR="0056717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1024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17</w:t>
      </w:r>
      <w:r w:rsidR="00A4454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1D540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büyümüştür</w:t>
      </w:r>
      <w:r w:rsidR="00A4454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FF484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Aynı dönemde m</w:t>
      </w:r>
      <w:r w:rsidR="0031533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enkul değerler cüzdanı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yüzde </w:t>
      </w:r>
      <w:r w:rsidR="0091024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r w:rsidR="002A3E6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0 oranında artmıştır. Menkul kıymet portföyünün toplam aktifler içindeki payı yüzde 17 olmuştur. </w:t>
      </w:r>
    </w:p>
    <w:p w:rsidR="00276ED7" w:rsidRPr="008A79DD" w:rsidRDefault="00276ED7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ED7" w:rsidRPr="008A79DD" w:rsidRDefault="00276ED7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ED7" w:rsidRPr="008A79DD" w:rsidRDefault="00276ED7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A3E62" w:rsidRPr="008A79DD" w:rsidRDefault="002A3E62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6D7755" w:rsidRPr="008A79DD" w:rsidRDefault="002A3E62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Bankacılık sektörü k</w:t>
      </w:r>
      <w:r w:rsidR="00CA32CB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redil</w:t>
      </w:r>
      <w:r w:rsidR="00A4454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er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i</w:t>
      </w:r>
      <w:r w:rsidR="00A4454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2015 yılını y</w:t>
      </w:r>
      <w:r w:rsidR="00A4454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üzde </w:t>
      </w:r>
      <w:r w:rsidR="00EC4100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18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oranında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büyüyerek 1.008 milyar TL’ye ulaşmıştır. </w:t>
      </w:r>
      <w:r w:rsidR="002F24C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Kredi büyümesi bilanço büyümesi üzerinde belirleyici rol oynam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aya devam etmiştir. </w:t>
      </w:r>
    </w:p>
    <w:p w:rsidR="00C146D1" w:rsidRPr="008A79DD" w:rsidRDefault="00C146D1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373BB1" w:rsidRPr="008A79DD" w:rsidRDefault="002758FF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K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redilerin toplam</w:t>
      </w:r>
      <w:r w:rsidR="001D745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aktifler içi</w:t>
      </w:r>
      <w:r w:rsidR="007526A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ndeki payı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Aralık</w:t>
      </w:r>
      <w:r w:rsidR="00B9445B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2015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itibariyle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bir önceki çeyreğe göre 1 puan artarak </w:t>
      </w:r>
      <w:r w:rsidR="007526A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yüzde </w:t>
      </w:r>
      <w:r w:rsidR="008D3FC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6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  <w:r w:rsidR="006B554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olarak gerçekleşmiştir.</w:t>
      </w:r>
      <w:r w:rsidR="00B9445B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4E2D4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Bir önceki yılın aynı dönemi ile karşılaştırıldığında</w:t>
      </w:r>
      <w:r w:rsidR="003A472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, t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akipteki krediler</w:t>
      </w:r>
      <w:r w:rsidR="006B554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in artış oranı</w:t>
      </w:r>
      <w:r w:rsidR="003A472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31533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yüzde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33</w:t>
      </w:r>
      <w:r w:rsidR="004E2D4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  <w:r w:rsidR="0083473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özel karşılıklar</w:t>
      </w:r>
      <w:r w:rsidR="006B554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ın artış oranı </w:t>
      </w:r>
      <w:r w:rsidR="00DD33E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ise 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yüzde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35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2D52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olmuştur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3A472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2014</w:t>
      </w:r>
      <w:r w:rsidR="00963A10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yılı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nda</w:t>
      </w:r>
      <w:r w:rsidR="00963A10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yüzde </w:t>
      </w:r>
      <w:r w:rsidR="004E2D4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78</w:t>
      </w:r>
      <w:r w:rsidR="00B9285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olan ö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zel karşılıkların takipteki kr</w:t>
      </w:r>
      <w:r w:rsidR="00532BF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e</w:t>
      </w:r>
      <w:r w:rsidR="006538F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dileri k</w:t>
      </w:r>
      <w:r w:rsidR="00F62EE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arşılama oranı </w:t>
      </w:r>
      <w:r w:rsidR="003A472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2</w:t>
      </w:r>
      <w:r w:rsidR="004E2D4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015 yılında yüzde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79’a</w:t>
      </w:r>
      <w:r w:rsidR="004E2D4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yükselmiştir. </w:t>
      </w:r>
      <w:r w:rsidR="00BF0D5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Tahsili gecikmiş alacakların kredilere oranı</w:t>
      </w:r>
      <w:r w:rsidR="00301D4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(brüt)</w:t>
      </w:r>
      <w:r w:rsidR="00BF0D5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bir önceki yıla göre 0,4 puan artarak</w:t>
      </w:r>
      <w:r w:rsidR="004E2D4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7F5D5D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yüzde </w:t>
      </w:r>
      <w:r w:rsidR="0062600D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,4</w:t>
      </w:r>
      <w:r w:rsidR="00A47BD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düzeyinde gerçekleşmiştir. </w:t>
      </w:r>
    </w:p>
    <w:p w:rsidR="00373BB1" w:rsidRPr="008A79DD" w:rsidRDefault="00373BB1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373BB1" w:rsidRPr="008A79DD" w:rsidRDefault="00EF08E7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Aralık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2015 itibariyle mevduatların yıllık büyümesi yüzde 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18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olmuş ve 9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05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milyar </w:t>
      </w:r>
      <w:r w:rsidR="00D621A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TL’ye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ulaşmıştır. 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TL mevduat, geçen y</w:t>
      </w:r>
      <w:r w:rsidR="00CA32CB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ılın aynı dönemine göre yüzd</w:t>
      </w:r>
      <w:r w:rsidR="001D745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 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7 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oranında, YP mevduatın TL karşılığı ise yüzde 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33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oranında artmıştır. 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Böylece mevduatlardaki artışta TL’deki değer kaybı önemli rol oynamıştır. </w:t>
      </w:r>
      <w:r w:rsidR="00C4175C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Toplam </w:t>
      </w:r>
      <w:r w:rsidR="000B13B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mevduatın yüzde 3,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6’sı</w:t>
      </w:r>
      <w:r w:rsidR="00A05A4D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32,9</w:t>
      </w:r>
      <w:r w:rsidR="00E8263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A73280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milyar TL) bankanın dahil ol</w:t>
      </w:r>
      <w:r w:rsidR="002D67D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duğu risk grubuna aittir.</w:t>
      </w:r>
      <w:r w:rsidR="00373BB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5F72BB" w:rsidRPr="008A79DD" w:rsidRDefault="005F72BB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DB3C3C" w:rsidRPr="008A79DD" w:rsidRDefault="00DB3C3C" w:rsidP="00DB3C3C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BIST’de işlem gören mevduat bankalarının özkaynakları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Aralık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2015 itibariyle geçen y</w:t>
      </w:r>
      <w:r w:rsidR="00986E7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ılın aynı dönemine göre yüzde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14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oranında artmıştır. Özkaynakların toplam aktiflere oranı yüzde 1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düzeyi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ndedir. Mevduat dışı kaynaklar yüksek oranlı büyümeye devam etmiş ve </w:t>
      </w:r>
      <w:r w:rsidR="00375867">
        <w:rPr>
          <w:rFonts w:ascii="Arial" w:hAnsi="Arial" w:cs="Arial"/>
          <w:b w:val="0"/>
          <w:color w:val="000000" w:themeColor="text1"/>
          <w:sz w:val="22"/>
          <w:szCs w:val="22"/>
        </w:rPr>
        <w:t>Aralık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2015 itibariyle toplam pasiflerin yüzde 2</w:t>
      </w:r>
      <w:r w:rsidR="00375867">
        <w:rPr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’ünü oluşturmuştur. </w:t>
      </w:r>
    </w:p>
    <w:p w:rsidR="005E3060" w:rsidRPr="008A79DD" w:rsidRDefault="005E3060" w:rsidP="00373BB1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DB3C3C" w:rsidRPr="008A79DD" w:rsidRDefault="00DB3C3C" w:rsidP="00DB3C3C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2015 itibariyle, YP aktiflerin toplam aktifler içindeki payı yüzde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39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, YP pasiflerin toplam pas</w:t>
      </w:r>
      <w:r w:rsidR="00867F30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ifler içindeki payı ise yüzde 4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seviyesinde gerçekleşmiştir. </w:t>
      </w:r>
    </w:p>
    <w:p w:rsidR="00024C28" w:rsidRPr="008A79DD" w:rsidRDefault="00024C28" w:rsidP="00DB3C3C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373BB1" w:rsidRPr="008A79DD" w:rsidRDefault="00C146D1" w:rsidP="00C146D1">
      <w:pPr>
        <w:pStyle w:val="Subtitle"/>
        <w:rPr>
          <w:rFonts w:ascii="Arial" w:hAnsi="Arial" w:cs="Arial"/>
          <w:color w:val="000000" w:themeColor="text1"/>
          <w:szCs w:val="24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="00373BB1" w:rsidRPr="008A79DD">
        <w:rPr>
          <w:rFonts w:ascii="Arial" w:hAnsi="Arial" w:cs="Arial"/>
          <w:color w:val="000000" w:themeColor="text1"/>
          <w:szCs w:val="24"/>
        </w:rPr>
        <w:t>Seçilmiş Gelir-Gider Dengesi Kalemleri (Milyon TL)</w:t>
      </w:r>
    </w:p>
    <w:p w:rsidR="00A37A8A" w:rsidRPr="008A79DD" w:rsidRDefault="00A37A8A" w:rsidP="00C146D1">
      <w:pPr>
        <w:pStyle w:val="Subtitle"/>
        <w:rPr>
          <w:rFonts w:ascii="Arial" w:hAnsi="Arial" w:cs="Arial"/>
          <w:color w:val="000000" w:themeColor="text1"/>
          <w:szCs w:val="24"/>
        </w:rPr>
      </w:pP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80"/>
        <w:gridCol w:w="1680"/>
        <w:gridCol w:w="1300"/>
      </w:tblGrid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Ara-14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Ara-15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Yıllık yüzde değişme</w:t>
            </w:r>
          </w:p>
        </w:tc>
      </w:tr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Faiz gelirleri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94.539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111.476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18</w:t>
            </w:r>
          </w:p>
        </w:tc>
      </w:tr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Faiz giderleri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50.201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59.591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19</w:t>
            </w:r>
          </w:p>
        </w:tc>
      </w:tr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Net faiz geliri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44.338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51.885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17</w:t>
            </w:r>
          </w:p>
        </w:tc>
      </w:tr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Net ücret ve kom. gelirleri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13.786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15.120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10</w:t>
            </w:r>
          </w:p>
        </w:tc>
      </w:tr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Net ticari kar/zarar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-1.231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-4.571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537CC3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-</w:t>
            </w:r>
          </w:p>
        </w:tc>
      </w:tr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Diğer faal. gelirleri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5.623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6.118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9</w:t>
            </w:r>
          </w:p>
        </w:tc>
      </w:tr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Faaliyet gelir/giderleri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63.596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69.451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9</w:t>
            </w:r>
          </w:p>
        </w:tc>
      </w:tr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 xml:space="preserve">  -Diğer faal. giderleri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29.610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34.445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16</w:t>
            </w:r>
          </w:p>
        </w:tc>
      </w:tr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Net faaliyet karı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21.810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20.181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-7</w:t>
            </w:r>
          </w:p>
        </w:tc>
      </w:tr>
      <w:tr w:rsidR="008A79DD" w:rsidRPr="008A79DD" w:rsidTr="00A37A8A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tr-TR"/>
              </w:rPr>
              <w:t>Net dönem kar/zararı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17.226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17.144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A8A" w:rsidRPr="008A79DD" w:rsidRDefault="00A37A8A" w:rsidP="00A37A8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A79DD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0</w:t>
            </w:r>
          </w:p>
        </w:tc>
      </w:tr>
    </w:tbl>
    <w:p w:rsidR="00A37A8A" w:rsidRPr="008A79DD" w:rsidRDefault="00A37A8A" w:rsidP="00C146D1">
      <w:pPr>
        <w:pStyle w:val="Subtitle"/>
        <w:rPr>
          <w:rFonts w:ascii="Arial" w:hAnsi="Arial" w:cs="Arial"/>
          <w:color w:val="000000" w:themeColor="text1"/>
          <w:szCs w:val="24"/>
        </w:rPr>
      </w:pPr>
    </w:p>
    <w:p w:rsidR="002D67D5" w:rsidRPr="008A79DD" w:rsidRDefault="007626A4" w:rsidP="002D67D5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2015</w:t>
      </w:r>
      <w:r w:rsidR="00963A10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yılı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nda</w:t>
      </w:r>
      <w:r w:rsidR="0052039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BIST</w:t>
      </w:r>
      <w:r w:rsidR="002D67D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’de işlem gören mevduat bankalarının faiz gelirleri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yüzde 18 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ve faiz giderleri</w:t>
      </w:r>
      <w:r w:rsidR="002D67D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B554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yüzde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19’lu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k</w:t>
      </w:r>
      <w:r w:rsidR="006B554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bir artış gösterirken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, n</w:t>
      </w:r>
      <w:r w:rsidR="00BF0D5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et faiz </w:t>
      </w:r>
      <w:r w:rsidR="00BE3BD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geliri</w:t>
      </w:r>
      <w:r w:rsidR="00BF0D5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FB37B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ise </w:t>
      </w:r>
      <w:r w:rsidR="0036394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yüzde </w:t>
      </w:r>
      <w:r w:rsidR="00024C28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17</w:t>
      </w:r>
      <w:r w:rsidR="00DC56DB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F0D5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oranında </w:t>
      </w:r>
      <w:r w:rsidR="005B43A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artmıştır</w:t>
      </w:r>
      <w:r w:rsidR="00A410C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  <w:r w:rsidR="00BF0D5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276ED7" w:rsidRPr="008A79DD" w:rsidRDefault="00276ED7" w:rsidP="002D67D5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ED7" w:rsidRPr="008A79DD" w:rsidRDefault="00276ED7" w:rsidP="002D67D5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ED7" w:rsidRPr="008A79DD" w:rsidRDefault="00276ED7" w:rsidP="002D67D5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ED7" w:rsidRPr="008A79DD" w:rsidRDefault="00276ED7" w:rsidP="002D67D5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ED7" w:rsidRPr="008A79DD" w:rsidRDefault="00276ED7" w:rsidP="002D67D5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ED7" w:rsidRPr="008A79DD" w:rsidRDefault="00276ED7" w:rsidP="002D67D5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C46ED2" w:rsidRPr="008A79DD" w:rsidRDefault="009E5EED" w:rsidP="00F10E2A">
      <w:pPr>
        <w:pStyle w:val="Subtitle"/>
        <w:jc w:val="center"/>
        <w:rPr>
          <w:rFonts w:ascii="Arial" w:hAnsi="Arial" w:cs="Arial"/>
          <w:color w:val="000000" w:themeColor="text1"/>
          <w:szCs w:val="22"/>
        </w:rPr>
      </w:pPr>
      <w:r w:rsidRPr="008A79DD">
        <w:rPr>
          <w:rFonts w:ascii="Arial" w:hAnsi="Arial" w:cs="Arial"/>
          <w:color w:val="000000" w:themeColor="text1"/>
          <w:szCs w:val="22"/>
        </w:rPr>
        <w:t xml:space="preserve">Net Kar (milyon TL)  ve </w:t>
      </w:r>
      <w:r w:rsidR="00537CC3" w:rsidRPr="008A79DD">
        <w:rPr>
          <w:rFonts w:ascii="Arial" w:hAnsi="Arial" w:cs="Arial"/>
          <w:color w:val="000000" w:themeColor="text1"/>
          <w:szCs w:val="22"/>
        </w:rPr>
        <w:t xml:space="preserve">Ortalama </w:t>
      </w:r>
      <w:r w:rsidR="00C54487" w:rsidRPr="008A79DD">
        <w:rPr>
          <w:rFonts w:ascii="Arial" w:hAnsi="Arial" w:cs="Arial"/>
          <w:color w:val="000000" w:themeColor="text1"/>
          <w:szCs w:val="22"/>
        </w:rPr>
        <w:t>Özkaynak Karlılığı (y</w:t>
      </w:r>
      <w:r w:rsidR="00373BB1" w:rsidRPr="008A79DD">
        <w:rPr>
          <w:rFonts w:ascii="Arial" w:hAnsi="Arial" w:cs="Arial"/>
          <w:color w:val="000000" w:themeColor="text1"/>
          <w:szCs w:val="22"/>
        </w:rPr>
        <w:t>ıllık</w:t>
      </w:r>
      <w:r w:rsidR="00360C27" w:rsidRPr="008A79DD">
        <w:rPr>
          <w:rFonts w:ascii="Arial" w:hAnsi="Arial" w:cs="Arial"/>
          <w:color w:val="000000" w:themeColor="text1"/>
          <w:szCs w:val="22"/>
        </w:rPr>
        <w:t>, yüzde</w:t>
      </w:r>
      <w:r w:rsidR="00373BB1" w:rsidRPr="008A79DD">
        <w:rPr>
          <w:rFonts w:ascii="Arial" w:hAnsi="Arial" w:cs="Arial"/>
          <w:color w:val="000000" w:themeColor="text1"/>
          <w:szCs w:val="22"/>
        </w:rPr>
        <w:t>)</w:t>
      </w:r>
    </w:p>
    <w:p w:rsidR="00C46ED2" w:rsidRPr="008A79DD" w:rsidRDefault="00537CC3" w:rsidP="00375867">
      <w:pPr>
        <w:pStyle w:val="Subtitle"/>
        <w:tabs>
          <w:tab w:val="left" w:pos="142"/>
        </w:tabs>
        <w:jc w:val="center"/>
        <w:rPr>
          <w:rFonts w:ascii="Arial" w:hAnsi="Arial" w:cs="Arial"/>
          <w:color w:val="000000" w:themeColor="text1"/>
          <w:szCs w:val="24"/>
        </w:rPr>
      </w:pPr>
      <w:r w:rsidRPr="008A79DD">
        <w:rPr>
          <w:noProof/>
          <w:color w:val="000000" w:themeColor="text1"/>
          <w:lang w:eastAsia="tr-TR"/>
        </w:rPr>
        <w:drawing>
          <wp:inline distT="0" distB="0" distL="0" distR="0" wp14:anchorId="151F920A" wp14:editId="77325801">
            <wp:extent cx="4680000" cy="2160000"/>
            <wp:effectExtent l="0" t="0" r="25400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ED2" w:rsidRPr="008A79DD" w:rsidRDefault="00C46ED2" w:rsidP="00002979">
      <w:pPr>
        <w:pStyle w:val="Subtitle"/>
        <w:rPr>
          <w:rFonts w:ascii="Arial" w:hAnsi="Arial" w:cs="Arial"/>
          <w:color w:val="000000" w:themeColor="text1"/>
          <w:szCs w:val="24"/>
        </w:rPr>
      </w:pPr>
    </w:p>
    <w:p w:rsidR="002D67D5" w:rsidRPr="008A79DD" w:rsidRDefault="00A410CF" w:rsidP="002D67D5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201</w:t>
      </w:r>
      <w:r w:rsidR="00F10E2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yılı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nda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net dönem karı bir önceki yıla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göre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değişmemiş </w:t>
      </w:r>
      <w:r w:rsidR="00897F81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ve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17,1 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milyar </w:t>
      </w:r>
      <w:r w:rsidR="00BE3BD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TL</w:t>
      </w:r>
      <w:r w:rsidR="00BF0D5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olmuştur.</w:t>
      </w:r>
      <w:r w:rsidR="00F10E2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Ticari zararın bir önceki yıla göre yükselmiş olması sektör karının artış göstermemesinde etkili olmuştur.</w:t>
      </w:r>
      <w:r w:rsidR="00F10E2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EF08E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Aralık</w:t>
      </w:r>
      <w:r w:rsidR="00F10E2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2015 itibariyle, yıllık bazda ortalama özkaynak karlılığı </w:t>
      </w:r>
      <w:r w:rsidR="00E35AD6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bir önceki yıla göre </w:t>
      </w:r>
      <w:r w:rsidR="00B55B7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r w:rsidR="00BB2E1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,7</w:t>
      </w:r>
      <w:r w:rsidR="00B55B75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puan gerileyerek yüzde 10</w:t>
      </w:r>
      <w:r w:rsidR="00BB2E1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,8</w:t>
      </w:r>
      <w:r w:rsidR="00F10E2A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seviyesinde gerçekleşmiştir.</w:t>
      </w:r>
    </w:p>
    <w:p w:rsidR="005E3060" w:rsidRPr="008A79DD" w:rsidRDefault="005E3060" w:rsidP="00544DFA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44DFA" w:rsidRPr="008A79DD" w:rsidRDefault="00D34B4A" w:rsidP="00544DFA">
      <w:pPr>
        <w:pStyle w:val="Subtitle"/>
        <w:rPr>
          <w:rFonts w:ascii="Arial" w:hAnsi="Arial" w:cs="Arial"/>
          <w:color w:val="000000" w:themeColor="text1"/>
          <w:szCs w:val="24"/>
        </w:rPr>
      </w:pPr>
      <w:r w:rsidRPr="008A79DD">
        <w:rPr>
          <w:rFonts w:ascii="Arial" w:hAnsi="Arial" w:cs="Arial"/>
          <w:color w:val="000000" w:themeColor="text1"/>
          <w:szCs w:val="24"/>
        </w:rPr>
        <w:t>3</w:t>
      </w:r>
      <w:r w:rsidR="00DD41D0" w:rsidRPr="008A79DD">
        <w:rPr>
          <w:rFonts w:ascii="Arial" w:hAnsi="Arial" w:cs="Arial"/>
          <w:color w:val="000000" w:themeColor="text1"/>
          <w:szCs w:val="24"/>
        </w:rPr>
        <w:t>. BİST</w:t>
      </w:r>
      <w:r w:rsidR="00544DFA" w:rsidRPr="008A79DD">
        <w:rPr>
          <w:rFonts w:ascii="Arial" w:hAnsi="Arial" w:cs="Arial"/>
          <w:color w:val="000000" w:themeColor="text1"/>
          <w:szCs w:val="24"/>
        </w:rPr>
        <w:t>’de İşle</w:t>
      </w:r>
      <w:r w:rsidR="00DD41D0" w:rsidRPr="008A79DD">
        <w:rPr>
          <w:rFonts w:ascii="Arial" w:hAnsi="Arial" w:cs="Arial"/>
          <w:color w:val="000000" w:themeColor="text1"/>
          <w:szCs w:val="24"/>
        </w:rPr>
        <w:t xml:space="preserve">m Gören </w:t>
      </w:r>
      <w:r w:rsidR="00282B48" w:rsidRPr="008A79DD">
        <w:rPr>
          <w:rFonts w:ascii="Arial" w:hAnsi="Arial" w:cs="Arial"/>
          <w:color w:val="000000" w:themeColor="text1"/>
          <w:szCs w:val="24"/>
        </w:rPr>
        <w:t>Finansal Kuruluşların</w:t>
      </w:r>
      <w:r w:rsidR="00DD41D0" w:rsidRPr="008A79DD">
        <w:rPr>
          <w:rFonts w:ascii="Arial" w:hAnsi="Arial" w:cs="Arial"/>
          <w:color w:val="000000" w:themeColor="text1"/>
          <w:szCs w:val="24"/>
        </w:rPr>
        <w:t xml:space="preserve"> </w:t>
      </w:r>
      <w:r w:rsidR="00544DFA" w:rsidRPr="008A79DD">
        <w:rPr>
          <w:rFonts w:ascii="Arial" w:hAnsi="Arial" w:cs="Arial"/>
          <w:color w:val="000000" w:themeColor="text1"/>
          <w:szCs w:val="24"/>
        </w:rPr>
        <w:t>B</w:t>
      </w:r>
      <w:r w:rsidR="00DD41D0" w:rsidRPr="008A79DD">
        <w:rPr>
          <w:rFonts w:ascii="Arial" w:hAnsi="Arial" w:cs="Arial"/>
          <w:color w:val="000000" w:themeColor="text1"/>
          <w:szCs w:val="24"/>
        </w:rPr>
        <w:t>İST</w:t>
      </w:r>
      <w:r w:rsidR="00544DFA" w:rsidRPr="008A79DD">
        <w:rPr>
          <w:rFonts w:ascii="Arial" w:hAnsi="Arial" w:cs="Arial"/>
          <w:color w:val="000000" w:themeColor="text1"/>
          <w:szCs w:val="24"/>
        </w:rPr>
        <w:t xml:space="preserve"> İçindeki Yeri</w:t>
      </w:r>
    </w:p>
    <w:p w:rsidR="00544DFA" w:rsidRPr="008A79DD" w:rsidRDefault="00544DFA" w:rsidP="00D159DE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8A79DD" w:rsidRPr="008A79DD" w:rsidRDefault="00DD41D0" w:rsidP="00D04B07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BIST</w:t>
      </w:r>
      <w:r w:rsidR="004723E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’de işlem gören hisse senetlerinin toplam piyasa değeri, </w:t>
      </w:r>
      <w:r w:rsidR="00147FB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Aralık</w:t>
      </w:r>
      <w:r w:rsidR="00D04B0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201</w:t>
      </w:r>
      <w:r w:rsidR="00D159D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  <w:r w:rsidR="00D04B0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CA550F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itibariyle </w:t>
      </w:r>
      <w:r w:rsidR="00FE1A49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  <w:r w:rsidR="007D357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54,9</w:t>
      </w:r>
      <w:r w:rsidR="00D04B0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4723E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milyar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TL </w:t>
      </w:r>
      <w:r w:rsidR="00101D8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(</w:t>
      </w:r>
      <w:r w:rsidR="007D357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190,2</w:t>
      </w:r>
      <w:r w:rsidR="00D159D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milyar USD) </w:t>
      </w:r>
      <w:r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olarak gerçekleşmiştir. BİST</w:t>
      </w:r>
      <w:r w:rsidR="004723E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’de işlem gören </w:t>
      </w:r>
      <w:r w:rsidR="00D04B0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bankalar ve özel finans kurumlarının </w:t>
      </w:r>
      <w:r w:rsidR="004723E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piyasa değeri ise </w:t>
      </w:r>
      <w:r w:rsidR="00E419D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r w:rsidR="00FB69D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4</w:t>
      </w:r>
      <w:r w:rsidR="007D357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7</w:t>
      </w:r>
      <w:r w:rsidR="00FB69D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  <w:r w:rsidR="007D357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="004723E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milyar TL </w:t>
      </w:r>
      <w:r w:rsidR="00FB69D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(</w:t>
      </w:r>
      <w:r w:rsidR="007D3572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50,7</w:t>
      </w:r>
      <w:r w:rsidR="00D159D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milyar USD) </w:t>
      </w:r>
      <w:r w:rsidR="004723E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ile</w:t>
      </w:r>
      <w:r w:rsidR="00B742C3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D761E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toplam piyasa değerinin yüzde </w:t>
      </w:r>
      <w:r w:rsidR="005D09BE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2</w:t>
      </w:r>
      <w:r w:rsidR="00276ED7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7’sini</w:t>
      </w:r>
      <w:r w:rsidR="004723E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oluşturmuştur.</w:t>
      </w:r>
      <w:r w:rsidR="004779D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8A79DD" w:rsidRPr="008A79DD" w:rsidRDefault="008A79DD" w:rsidP="00D04B07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8A79DD" w:rsidRPr="008A79DD" w:rsidRDefault="008A79DD" w:rsidP="008A79DD">
      <w:pPr>
        <w:pStyle w:val="Subtitle"/>
        <w:jc w:val="center"/>
        <w:rPr>
          <w:rFonts w:ascii="Arial" w:hAnsi="Arial" w:cs="Arial"/>
          <w:color w:val="000000" w:themeColor="text1"/>
          <w:szCs w:val="22"/>
        </w:rPr>
      </w:pPr>
      <w:r w:rsidRPr="008A79DD">
        <w:rPr>
          <w:rFonts w:ascii="Arial" w:hAnsi="Arial" w:cs="Arial"/>
          <w:color w:val="000000" w:themeColor="text1"/>
          <w:szCs w:val="22"/>
        </w:rPr>
        <w:t>Piyasa Değeri / Defter Değeri</w:t>
      </w:r>
    </w:p>
    <w:p w:rsidR="008A79DD" w:rsidRPr="008A79DD" w:rsidRDefault="008A79DD" w:rsidP="00375867">
      <w:pPr>
        <w:pStyle w:val="Subtitle"/>
        <w:ind w:left="142" w:hanging="142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A79DD">
        <w:rPr>
          <w:noProof/>
          <w:color w:val="000000" w:themeColor="text1"/>
          <w:lang w:eastAsia="tr-TR"/>
        </w:rPr>
        <w:drawing>
          <wp:inline distT="0" distB="0" distL="0" distR="0" wp14:anchorId="61671E6A" wp14:editId="4C06B2AE">
            <wp:extent cx="4680000" cy="2160000"/>
            <wp:effectExtent l="0" t="0" r="2540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79DD" w:rsidRPr="008A79DD" w:rsidRDefault="008A79DD" w:rsidP="00D04B07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BF0D5E" w:rsidRPr="00375867" w:rsidRDefault="008A79DD" w:rsidP="00375867">
      <w:pPr>
        <w:pStyle w:val="Subtitle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Bankacılık sektöründe son yıllarda özkaynak karlılığının gerilemesi bankaların piyasa değerleri üzerinde de etkili olmuştur. </w:t>
      </w:r>
      <w:r w:rsidR="0037586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Böylece bankaların piyasa değeri düşüşü Borsa İstanbul’da işlem gören diğer şirketlere göre daha hızlı olmuştur. </w:t>
      </w:r>
      <w:r w:rsidR="004779D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Borsa İstanbul’da bankalar hariç şirketlerin piyasa değeri/defter değeri oranı </w:t>
      </w:r>
      <w:r w:rsidR="0037586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2012 yılından bu yana 31 baz puan düşüşle </w:t>
      </w:r>
      <w:r w:rsidR="004779D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>1,56 olurken, bankalarda bu oran</w:t>
      </w:r>
      <w:r w:rsidR="0037586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68 baz puan düşüşle</w:t>
      </w:r>
      <w:r w:rsidR="004779D4" w:rsidRPr="008A79D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0,88 olarak gerçekleşmiştir. </w:t>
      </w:r>
      <w:bookmarkEnd w:id="0"/>
      <w:bookmarkEnd w:id="1"/>
    </w:p>
    <w:sectPr w:rsidR="00BF0D5E" w:rsidRPr="00375867" w:rsidSect="00D416C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381" w:right="2268" w:bottom="1440" w:left="1814" w:header="1151" w:footer="431" w:gutter="0"/>
      <w:pgNumType w:fmt="lowerRoman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84" w:rsidRDefault="00166584">
      <w:r>
        <w:separator/>
      </w:r>
    </w:p>
  </w:endnote>
  <w:endnote w:type="continuationSeparator" w:id="0">
    <w:p w:rsidR="00166584" w:rsidRDefault="0016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Default="00CE6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326" w:rsidRDefault="00CE6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Pr="00844875" w:rsidRDefault="00CE6326" w:rsidP="00D416CA">
    <w:pPr>
      <w:pStyle w:val="Footer"/>
      <w:tabs>
        <w:tab w:val="clear" w:pos="4153"/>
        <w:tab w:val="clear" w:pos="8306"/>
        <w:tab w:val="right" w:pos="7654"/>
      </w:tabs>
      <w:rPr>
        <w:rFonts w:ascii="Arial" w:hAnsi="Arial" w:cs="Arial"/>
        <w:sz w:val="18"/>
        <w:szCs w:val="18"/>
      </w:rPr>
    </w:pPr>
    <w:r w:rsidRPr="001A244F">
      <w:rPr>
        <w:rFonts w:ascii="Arial" w:hAnsi="Arial" w:cs="Arial"/>
        <w:sz w:val="18"/>
      </w:rPr>
      <w:t>T</w:t>
    </w:r>
    <w:r w:rsidR="00C733A1">
      <w:rPr>
        <w:rFonts w:ascii="Arial" w:hAnsi="Arial" w:cs="Arial"/>
        <w:sz w:val="18"/>
      </w:rPr>
      <w:t>BB/İstatistiki Raporlar/BIST</w:t>
    </w:r>
    <w:r w:rsidRPr="001A244F">
      <w:rPr>
        <w:rFonts w:ascii="Arial" w:hAnsi="Arial" w:cs="Arial"/>
        <w:sz w:val="18"/>
      </w:rPr>
      <w:t>’de İşlem</w:t>
    </w:r>
    <w:r w:rsidR="00D06BF9">
      <w:rPr>
        <w:rFonts w:ascii="Arial" w:hAnsi="Arial" w:cs="Arial"/>
        <w:sz w:val="18"/>
      </w:rPr>
      <w:t xml:space="preserve"> Gören Mevduat Bankaları/</w:t>
    </w:r>
    <w:r w:rsidR="002E1FBB">
      <w:rPr>
        <w:rFonts w:ascii="Arial" w:hAnsi="Arial" w:cs="Arial"/>
        <w:sz w:val="18"/>
      </w:rPr>
      <w:t xml:space="preserve">Aralık </w:t>
    </w:r>
    <w:r w:rsidR="00963A10">
      <w:rPr>
        <w:rFonts w:ascii="Arial" w:hAnsi="Arial" w:cs="Arial"/>
        <w:sz w:val="18"/>
      </w:rPr>
      <w:t>201</w:t>
    </w:r>
    <w:r w:rsidR="00852EFE">
      <w:rPr>
        <w:rFonts w:ascii="Arial" w:hAnsi="Arial" w:cs="Arial"/>
        <w:sz w:val="18"/>
      </w:rPr>
      <w:t>5</w:t>
    </w:r>
    <w:r>
      <w:rPr>
        <w:sz w:val="18"/>
      </w:rPr>
      <w:tab/>
    </w:r>
    <w:r w:rsidRPr="00844875">
      <w:rPr>
        <w:rFonts w:ascii="Arial" w:hAnsi="Arial" w:cs="Arial"/>
        <w:sz w:val="18"/>
        <w:szCs w:val="18"/>
      </w:rPr>
      <w:fldChar w:fldCharType="begin"/>
    </w:r>
    <w:r w:rsidRPr="00844875">
      <w:rPr>
        <w:rFonts w:ascii="Arial" w:hAnsi="Arial" w:cs="Arial"/>
        <w:sz w:val="18"/>
        <w:szCs w:val="18"/>
      </w:rPr>
      <w:instrText xml:space="preserve"> PAGE  \* MERGEFORMAT </w:instrText>
    </w:r>
    <w:r w:rsidRPr="00844875">
      <w:rPr>
        <w:rFonts w:ascii="Arial" w:hAnsi="Arial" w:cs="Arial"/>
        <w:sz w:val="18"/>
        <w:szCs w:val="18"/>
      </w:rPr>
      <w:fldChar w:fldCharType="separate"/>
    </w:r>
    <w:r w:rsidR="00F04E24">
      <w:rPr>
        <w:rFonts w:ascii="Arial" w:hAnsi="Arial" w:cs="Arial"/>
        <w:noProof/>
        <w:sz w:val="18"/>
        <w:szCs w:val="18"/>
      </w:rPr>
      <w:t>ii</w:t>
    </w:r>
    <w:r w:rsidRPr="0084487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D1" w:rsidRDefault="00C146D1">
    <w:pPr>
      <w:pStyle w:val="Footer"/>
      <w:jc w:val="right"/>
    </w:pPr>
  </w:p>
  <w:p w:rsidR="00C146D1" w:rsidRDefault="00166584">
    <w:pPr>
      <w:pStyle w:val="Footer"/>
      <w:jc w:val="right"/>
    </w:pPr>
    <w:sdt>
      <w:sdtPr>
        <w:id w:val="-100735302"/>
        <w:docPartObj>
          <w:docPartGallery w:val="Page Numbers (Bottom of Page)"/>
          <w:docPartUnique/>
        </w:docPartObj>
      </w:sdtPr>
      <w:sdtEndPr/>
      <w:sdtContent>
        <w:r w:rsidR="00C146D1">
          <w:fldChar w:fldCharType="begin"/>
        </w:r>
        <w:r w:rsidR="00C146D1">
          <w:instrText>PAGE   \* MERGEFORMAT</w:instrText>
        </w:r>
        <w:r w:rsidR="00C146D1">
          <w:fldChar w:fldCharType="separate"/>
        </w:r>
        <w:r w:rsidR="00F04E24">
          <w:rPr>
            <w:noProof/>
          </w:rPr>
          <w:t>i</w:t>
        </w:r>
        <w:r w:rsidR="00C146D1">
          <w:fldChar w:fldCharType="end"/>
        </w:r>
      </w:sdtContent>
    </w:sdt>
  </w:p>
  <w:p w:rsidR="00CE6326" w:rsidRDefault="00CE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84" w:rsidRDefault="00166584">
      <w:r>
        <w:separator/>
      </w:r>
    </w:p>
  </w:footnote>
  <w:footnote w:type="continuationSeparator" w:id="0">
    <w:p w:rsidR="00166584" w:rsidRDefault="00166584">
      <w:r>
        <w:continuationSeparator/>
      </w:r>
    </w:p>
  </w:footnote>
  <w:footnote w:id="1">
    <w:p w:rsidR="00CE6326" w:rsidRPr="00060DA1" w:rsidRDefault="00CE6326" w:rsidP="00075F33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060DA1">
        <w:rPr>
          <w:rStyle w:val="FootnoteReference"/>
          <w:rFonts w:ascii="Arial" w:hAnsi="Arial" w:cs="Arial"/>
          <w:sz w:val="18"/>
          <w:szCs w:val="18"/>
        </w:rPr>
        <w:footnoteRef/>
      </w:r>
      <w:r w:rsidRPr="00060DA1">
        <w:rPr>
          <w:rFonts w:ascii="Arial" w:hAnsi="Arial" w:cs="Arial"/>
          <w:sz w:val="18"/>
          <w:szCs w:val="18"/>
        </w:rPr>
        <w:t xml:space="preserve"> Akbank T.A.Ş</w:t>
      </w:r>
      <w:r w:rsidR="005B7650">
        <w:rPr>
          <w:rFonts w:ascii="Arial" w:hAnsi="Arial" w:cs="Arial"/>
          <w:sz w:val="18"/>
          <w:szCs w:val="18"/>
        </w:rPr>
        <w:t xml:space="preserve">, </w:t>
      </w:r>
      <w:r w:rsidRPr="00060DA1">
        <w:rPr>
          <w:rFonts w:ascii="Arial" w:hAnsi="Arial" w:cs="Arial"/>
          <w:sz w:val="18"/>
          <w:szCs w:val="18"/>
        </w:rPr>
        <w:t xml:space="preserve">Denizbank A.Ş., Finans Bank A.Ş., Şekerbank T.A.Ş., </w:t>
      </w:r>
      <w:r w:rsidR="008F3C60">
        <w:rPr>
          <w:rFonts w:ascii="Arial" w:hAnsi="Arial" w:cs="Arial"/>
          <w:sz w:val="18"/>
          <w:szCs w:val="18"/>
        </w:rPr>
        <w:t>ICBC Turkey Bank A.Ş.,</w:t>
      </w:r>
      <w:r w:rsidRPr="00060DA1">
        <w:rPr>
          <w:rFonts w:ascii="Arial" w:hAnsi="Arial" w:cs="Arial"/>
          <w:sz w:val="18"/>
          <w:szCs w:val="18"/>
        </w:rPr>
        <w:t xml:space="preserve"> Türkiye Halk Bankası</w:t>
      </w:r>
      <w:r w:rsidR="0071090F">
        <w:rPr>
          <w:rFonts w:ascii="Arial" w:hAnsi="Arial" w:cs="Arial"/>
          <w:sz w:val="18"/>
          <w:szCs w:val="18"/>
        </w:rPr>
        <w:t xml:space="preserve"> A.Ş.</w:t>
      </w:r>
      <w:r w:rsidRPr="00060DA1">
        <w:rPr>
          <w:rFonts w:ascii="Arial" w:hAnsi="Arial" w:cs="Arial"/>
          <w:sz w:val="18"/>
          <w:szCs w:val="18"/>
        </w:rPr>
        <w:t>, Türkiye Garanti Bankası A.Ş., Türkiye İş Bankası A.Ş., Türkiye Vakıflar Bankası T.A.O. ve Yapı ve Kredi Bankası A.Ş.’yi kapsamaktadır.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Default="00CE6326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6BEC361E" wp14:editId="0053EFA7">
          <wp:simplePos x="0" y="0"/>
          <wp:positionH relativeFrom="page">
            <wp:posOffset>6364605</wp:posOffset>
          </wp:positionH>
          <wp:positionV relativeFrom="page">
            <wp:posOffset>302260</wp:posOffset>
          </wp:positionV>
          <wp:extent cx="913130" cy="929005"/>
          <wp:effectExtent l="0" t="0" r="1270" b="4445"/>
          <wp:wrapSquare wrapText="bothSides"/>
          <wp:docPr id="1" name="Picture 1" descr="logot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Default="00CE6326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E50067" wp14:editId="23A05E1F">
          <wp:simplePos x="0" y="0"/>
          <wp:positionH relativeFrom="page">
            <wp:posOffset>6364605</wp:posOffset>
          </wp:positionH>
          <wp:positionV relativeFrom="page">
            <wp:posOffset>302260</wp:posOffset>
          </wp:positionV>
          <wp:extent cx="913130" cy="929005"/>
          <wp:effectExtent l="0" t="0" r="1270" b="4445"/>
          <wp:wrapSquare wrapText="bothSides"/>
          <wp:docPr id="2" name="Picture 2" descr="logot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7A4"/>
    <w:multiLevelType w:val="hybridMultilevel"/>
    <w:tmpl w:val="2732161A"/>
    <w:lvl w:ilvl="0" w:tplc="38101C68">
      <w:start w:val="5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14D8"/>
    <w:multiLevelType w:val="hybridMultilevel"/>
    <w:tmpl w:val="177C6CD4"/>
    <w:lvl w:ilvl="0" w:tplc="7C88EE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00CD2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FD"/>
    <w:rsid w:val="00002979"/>
    <w:rsid w:val="0000316F"/>
    <w:rsid w:val="000048EE"/>
    <w:rsid w:val="00005663"/>
    <w:rsid w:val="00007C73"/>
    <w:rsid w:val="00015229"/>
    <w:rsid w:val="000160AA"/>
    <w:rsid w:val="00017575"/>
    <w:rsid w:val="00017BEA"/>
    <w:rsid w:val="00023A2D"/>
    <w:rsid w:val="00024C28"/>
    <w:rsid w:val="00024E29"/>
    <w:rsid w:val="00027542"/>
    <w:rsid w:val="0003146D"/>
    <w:rsid w:val="000337BE"/>
    <w:rsid w:val="000344BC"/>
    <w:rsid w:val="0004336A"/>
    <w:rsid w:val="00050A0A"/>
    <w:rsid w:val="000573AD"/>
    <w:rsid w:val="000574D1"/>
    <w:rsid w:val="00060DA1"/>
    <w:rsid w:val="00063F82"/>
    <w:rsid w:val="000640D8"/>
    <w:rsid w:val="00072EDD"/>
    <w:rsid w:val="00073A4F"/>
    <w:rsid w:val="000743BF"/>
    <w:rsid w:val="000753A7"/>
    <w:rsid w:val="00075F33"/>
    <w:rsid w:val="000763B6"/>
    <w:rsid w:val="0007772D"/>
    <w:rsid w:val="00081D6C"/>
    <w:rsid w:val="0008674D"/>
    <w:rsid w:val="00090CBF"/>
    <w:rsid w:val="00091F8C"/>
    <w:rsid w:val="00097808"/>
    <w:rsid w:val="000A01E6"/>
    <w:rsid w:val="000A2B7A"/>
    <w:rsid w:val="000A5B4D"/>
    <w:rsid w:val="000A7B3A"/>
    <w:rsid w:val="000B13B5"/>
    <w:rsid w:val="000B2996"/>
    <w:rsid w:val="000B3C9F"/>
    <w:rsid w:val="000B457C"/>
    <w:rsid w:val="000C48B2"/>
    <w:rsid w:val="000C58D6"/>
    <w:rsid w:val="000C5A0D"/>
    <w:rsid w:val="000C6659"/>
    <w:rsid w:val="000C77B2"/>
    <w:rsid w:val="000D45AA"/>
    <w:rsid w:val="000D52E7"/>
    <w:rsid w:val="000D69CF"/>
    <w:rsid w:val="000E1FA2"/>
    <w:rsid w:val="000E31B4"/>
    <w:rsid w:val="000E425B"/>
    <w:rsid w:val="000E43C9"/>
    <w:rsid w:val="000E459B"/>
    <w:rsid w:val="000E579E"/>
    <w:rsid w:val="000E7B3E"/>
    <w:rsid w:val="000F0B1A"/>
    <w:rsid w:val="000F3289"/>
    <w:rsid w:val="000F4A30"/>
    <w:rsid w:val="001010F3"/>
    <w:rsid w:val="00101C9A"/>
    <w:rsid w:val="00101D84"/>
    <w:rsid w:val="001068D7"/>
    <w:rsid w:val="00107091"/>
    <w:rsid w:val="00107DCC"/>
    <w:rsid w:val="00110161"/>
    <w:rsid w:val="0011151D"/>
    <w:rsid w:val="00112B10"/>
    <w:rsid w:val="00112B9E"/>
    <w:rsid w:val="0011439C"/>
    <w:rsid w:val="00114B6D"/>
    <w:rsid w:val="00115805"/>
    <w:rsid w:val="00124FC3"/>
    <w:rsid w:val="001262FB"/>
    <w:rsid w:val="001275AA"/>
    <w:rsid w:val="00130280"/>
    <w:rsid w:val="00130CEF"/>
    <w:rsid w:val="00131033"/>
    <w:rsid w:val="0013152C"/>
    <w:rsid w:val="00137C05"/>
    <w:rsid w:val="00140928"/>
    <w:rsid w:val="00142011"/>
    <w:rsid w:val="00144589"/>
    <w:rsid w:val="00146BE4"/>
    <w:rsid w:val="00147FB4"/>
    <w:rsid w:val="001515D7"/>
    <w:rsid w:val="00154624"/>
    <w:rsid w:val="0015577B"/>
    <w:rsid w:val="00161692"/>
    <w:rsid w:val="00163489"/>
    <w:rsid w:val="00166584"/>
    <w:rsid w:val="00167BF5"/>
    <w:rsid w:val="00170249"/>
    <w:rsid w:val="00171AFF"/>
    <w:rsid w:val="001764FA"/>
    <w:rsid w:val="00180BCE"/>
    <w:rsid w:val="00182B7E"/>
    <w:rsid w:val="0018552D"/>
    <w:rsid w:val="0019190C"/>
    <w:rsid w:val="00193AE4"/>
    <w:rsid w:val="001953FE"/>
    <w:rsid w:val="001977CB"/>
    <w:rsid w:val="001A1722"/>
    <w:rsid w:val="001A198C"/>
    <w:rsid w:val="001A2807"/>
    <w:rsid w:val="001A480C"/>
    <w:rsid w:val="001A566B"/>
    <w:rsid w:val="001B3D2B"/>
    <w:rsid w:val="001B6DFA"/>
    <w:rsid w:val="001B7094"/>
    <w:rsid w:val="001C1071"/>
    <w:rsid w:val="001C2060"/>
    <w:rsid w:val="001C4654"/>
    <w:rsid w:val="001C4C1E"/>
    <w:rsid w:val="001C5B5F"/>
    <w:rsid w:val="001C6FB7"/>
    <w:rsid w:val="001C736E"/>
    <w:rsid w:val="001D000A"/>
    <w:rsid w:val="001D314E"/>
    <w:rsid w:val="001D3843"/>
    <w:rsid w:val="001D4937"/>
    <w:rsid w:val="001D540E"/>
    <w:rsid w:val="001D564F"/>
    <w:rsid w:val="001D7456"/>
    <w:rsid w:val="001E1B4B"/>
    <w:rsid w:val="001E3E7D"/>
    <w:rsid w:val="001E4019"/>
    <w:rsid w:val="001E4CF9"/>
    <w:rsid w:val="001E5DA7"/>
    <w:rsid w:val="001E6811"/>
    <w:rsid w:val="001F3908"/>
    <w:rsid w:val="001F4083"/>
    <w:rsid w:val="001F7734"/>
    <w:rsid w:val="001F7FCE"/>
    <w:rsid w:val="002004E8"/>
    <w:rsid w:val="0020749D"/>
    <w:rsid w:val="0021271F"/>
    <w:rsid w:val="002159C0"/>
    <w:rsid w:val="002170BE"/>
    <w:rsid w:val="00217C37"/>
    <w:rsid w:val="002205CD"/>
    <w:rsid w:val="00220627"/>
    <w:rsid w:val="002230B9"/>
    <w:rsid w:val="002248F2"/>
    <w:rsid w:val="00225B06"/>
    <w:rsid w:val="00225EB5"/>
    <w:rsid w:val="00227388"/>
    <w:rsid w:val="00234523"/>
    <w:rsid w:val="00234AAA"/>
    <w:rsid w:val="00237A14"/>
    <w:rsid w:val="0024036D"/>
    <w:rsid w:val="00240C25"/>
    <w:rsid w:val="00240E2F"/>
    <w:rsid w:val="00242C53"/>
    <w:rsid w:val="00245CC4"/>
    <w:rsid w:val="00246E5F"/>
    <w:rsid w:val="00247827"/>
    <w:rsid w:val="00250E81"/>
    <w:rsid w:val="00252DBF"/>
    <w:rsid w:val="002621F6"/>
    <w:rsid w:val="002625DF"/>
    <w:rsid w:val="00263940"/>
    <w:rsid w:val="00267D7A"/>
    <w:rsid w:val="002702F1"/>
    <w:rsid w:val="00271995"/>
    <w:rsid w:val="002758FF"/>
    <w:rsid w:val="00276ED7"/>
    <w:rsid w:val="00277452"/>
    <w:rsid w:val="002775E7"/>
    <w:rsid w:val="00280A9B"/>
    <w:rsid w:val="0028168E"/>
    <w:rsid w:val="00281A67"/>
    <w:rsid w:val="00282B48"/>
    <w:rsid w:val="002830E0"/>
    <w:rsid w:val="002848B2"/>
    <w:rsid w:val="00287873"/>
    <w:rsid w:val="00290CE8"/>
    <w:rsid w:val="002929E9"/>
    <w:rsid w:val="002960D3"/>
    <w:rsid w:val="002A3E62"/>
    <w:rsid w:val="002A6334"/>
    <w:rsid w:val="002A7A15"/>
    <w:rsid w:val="002B4074"/>
    <w:rsid w:val="002B53F5"/>
    <w:rsid w:val="002B77EB"/>
    <w:rsid w:val="002C3493"/>
    <w:rsid w:val="002C4D8D"/>
    <w:rsid w:val="002C5A1A"/>
    <w:rsid w:val="002C5CF5"/>
    <w:rsid w:val="002D3D2B"/>
    <w:rsid w:val="002D4536"/>
    <w:rsid w:val="002D52B1"/>
    <w:rsid w:val="002D67D5"/>
    <w:rsid w:val="002E0926"/>
    <w:rsid w:val="002E17DE"/>
    <w:rsid w:val="002E1FAE"/>
    <w:rsid w:val="002E1FBB"/>
    <w:rsid w:val="002F0DE6"/>
    <w:rsid w:val="002F24CF"/>
    <w:rsid w:val="002F7D49"/>
    <w:rsid w:val="00301D46"/>
    <w:rsid w:val="00302CCE"/>
    <w:rsid w:val="0030479B"/>
    <w:rsid w:val="003075F6"/>
    <w:rsid w:val="00307B97"/>
    <w:rsid w:val="0031205E"/>
    <w:rsid w:val="00315135"/>
    <w:rsid w:val="00315335"/>
    <w:rsid w:val="00315958"/>
    <w:rsid w:val="00315AD0"/>
    <w:rsid w:val="00317443"/>
    <w:rsid w:val="00317FA3"/>
    <w:rsid w:val="00320222"/>
    <w:rsid w:val="00321866"/>
    <w:rsid w:val="00323632"/>
    <w:rsid w:val="00326018"/>
    <w:rsid w:val="00327D4B"/>
    <w:rsid w:val="00334EF7"/>
    <w:rsid w:val="0033616B"/>
    <w:rsid w:val="00337F0C"/>
    <w:rsid w:val="00342E54"/>
    <w:rsid w:val="00346032"/>
    <w:rsid w:val="0034670B"/>
    <w:rsid w:val="00350D30"/>
    <w:rsid w:val="00350F98"/>
    <w:rsid w:val="00352EFE"/>
    <w:rsid w:val="00360C27"/>
    <w:rsid w:val="00360E6D"/>
    <w:rsid w:val="003629D9"/>
    <w:rsid w:val="00362F2D"/>
    <w:rsid w:val="003637A6"/>
    <w:rsid w:val="00363946"/>
    <w:rsid w:val="00367936"/>
    <w:rsid w:val="00373BB1"/>
    <w:rsid w:val="00374986"/>
    <w:rsid w:val="00375867"/>
    <w:rsid w:val="003761C6"/>
    <w:rsid w:val="00376A74"/>
    <w:rsid w:val="00381E6B"/>
    <w:rsid w:val="00382FF2"/>
    <w:rsid w:val="00386F3C"/>
    <w:rsid w:val="0038766A"/>
    <w:rsid w:val="00395635"/>
    <w:rsid w:val="00396F07"/>
    <w:rsid w:val="0039711C"/>
    <w:rsid w:val="00397652"/>
    <w:rsid w:val="003A0244"/>
    <w:rsid w:val="003A0730"/>
    <w:rsid w:val="003A4114"/>
    <w:rsid w:val="003A4722"/>
    <w:rsid w:val="003A4B0D"/>
    <w:rsid w:val="003A4E37"/>
    <w:rsid w:val="003A6021"/>
    <w:rsid w:val="003B3D8F"/>
    <w:rsid w:val="003B4FEB"/>
    <w:rsid w:val="003B6F11"/>
    <w:rsid w:val="003B7153"/>
    <w:rsid w:val="003B72EF"/>
    <w:rsid w:val="003C2ACB"/>
    <w:rsid w:val="003C5895"/>
    <w:rsid w:val="003C6085"/>
    <w:rsid w:val="003C7686"/>
    <w:rsid w:val="003D0039"/>
    <w:rsid w:val="003D1BA8"/>
    <w:rsid w:val="003D228A"/>
    <w:rsid w:val="003D26BC"/>
    <w:rsid w:val="003D609E"/>
    <w:rsid w:val="003D74DC"/>
    <w:rsid w:val="003D7C20"/>
    <w:rsid w:val="003E0518"/>
    <w:rsid w:val="003E1EAF"/>
    <w:rsid w:val="003E27BA"/>
    <w:rsid w:val="003E599F"/>
    <w:rsid w:val="003E680C"/>
    <w:rsid w:val="003E7674"/>
    <w:rsid w:val="003F0E68"/>
    <w:rsid w:val="003F0F3C"/>
    <w:rsid w:val="003F1484"/>
    <w:rsid w:val="003F7079"/>
    <w:rsid w:val="0040004D"/>
    <w:rsid w:val="0040598A"/>
    <w:rsid w:val="00406961"/>
    <w:rsid w:val="00406991"/>
    <w:rsid w:val="0041045D"/>
    <w:rsid w:val="0041064C"/>
    <w:rsid w:val="0041278D"/>
    <w:rsid w:val="004134BC"/>
    <w:rsid w:val="004205F5"/>
    <w:rsid w:val="004273E6"/>
    <w:rsid w:val="00427CD6"/>
    <w:rsid w:val="0043294B"/>
    <w:rsid w:val="004354F1"/>
    <w:rsid w:val="00440BBF"/>
    <w:rsid w:val="004440D6"/>
    <w:rsid w:val="00445E33"/>
    <w:rsid w:val="0044798F"/>
    <w:rsid w:val="00451471"/>
    <w:rsid w:val="00451750"/>
    <w:rsid w:val="004526F1"/>
    <w:rsid w:val="00453493"/>
    <w:rsid w:val="00454D3F"/>
    <w:rsid w:val="00457F1E"/>
    <w:rsid w:val="00457F61"/>
    <w:rsid w:val="00460AAF"/>
    <w:rsid w:val="00462761"/>
    <w:rsid w:val="004635A9"/>
    <w:rsid w:val="00463FB0"/>
    <w:rsid w:val="00467373"/>
    <w:rsid w:val="004723E4"/>
    <w:rsid w:val="00472DE7"/>
    <w:rsid w:val="0047341C"/>
    <w:rsid w:val="00473832"/>
    <w:rsid w:val="0047445A"/>
    <w:rsid w:val="004758D7"/>
    <w:rsid w:val="004779D4"/>
    <w:rsid w:val="00480020"/>
    <w:rsid w:val="00484BB9"/>
    <w:rsid w:val="0048538F"/>
    <w:rsid w:val="00487C88"/>
    <w:rsid w:val="00487FC8"/>
    <w:rsid w:val="00492E36"/>
    <w:rsid w:val="004A042C"/>
    <w:rsid w:val="004A1BBA"/>
    <w:rsid w:val="004A361F"/>
    <w:rsid w:val="004A6DEB"/>
    <w:rsid w:val="004B19F7"/>
    <w:rsid w:val="004B1E2A"/>
    <w:rsid w:val="004B3375"/>
    <w:rsid w:val="004B3FB7"/>
    <w:rsid w:val="004B4D0D"/>
    <w:rsid w:val="004B547B"/>
    <w:rsid w:val="004B6E31"/>
    <w:rsid w:val="004C374A"/>
    <w:rsid w:val="004C419B"/>
    <w:rsid w:val="004D17D7"/>
    <w:rsid w:val="004D5A79"/>
    <w:rsid w:val="004D6282"/>
    <w:rsid w:val="004E0368"/>
    <w:rsid w:val="004E1FDB"/>
    <w:rsid w:val="004E2D4A"/>
    <w:rsid w:val="004E3BB6"/>
    <w:rsid w:val="004F4F22"/>
    <w:rsid w:val="004F7254"/>
    <w:rsid w:val="005010CA"/>
    <w:rsid w:val="00511F4E"/>
    <w:rsid w:val="00513BA4"/>
    <w:rsid w:val="00514D84"/>
    <w:rsid w:val="00517505"/>
    <w:rsid w:val="0052039A"/>
    <w:rsid w:val="0052173F"/>
    <w:rsid w:val="00527623"/>
    <w:rsid w:val="00531A2F"/>
    <w:rsid w:val="00532BF8"/>
    <w:rsid w:val="005332F9"/>
    <w:rsid w:val="00536383"/>
    <w:rsid w:val="00537572"/>
    <w:rsid w:val="00537CC3"/>
    <w:rsid w:val="00542284"/>
    <w:rsid w:val="00543ABE"/>
    <w:rsid w:val="00543E90"/>
    <w:rsid w:val="00544DFA"/>
    <w:rsid w:val="0054720B"/>
    <w:rsid w:val="00551DAE"/>
    <w:rsid w:val="00552433"/>
    <w:rsid w:val="00552EEB"/>
    <w:rsid w:val="0055363E"/>
    <w:rsid w:val="0055481A"/>
    <w:rsid w:val="00555638"/>
    <w:rsid w:val="005561ED"/>
    <w:rsid w:val="005600EF"/>
    <w:rsid w:val="005629AB"/>
    <w:rsid w:val="0056307D"/>
    <w:rsid w:val="005655E6"/>
    <w:rsid w:val="00565B0B"/>
    <w:rsid w:val="005670AF"/>
    <w:rsid w:val="00567171"/>
    <w:rsid w:val="00572CF3"/>
    <w:rsid w:val="005730C3"/>
    <w:rsid w:val="005757BA"/>
    <w:rsid w:val="00576AF6"/>
    <w:rsid w:val="00580A13"/>
    <w:rsid w:val="0058353E"/>
    <w:rsid w:val="005839EF"/>
    <w:rsid w:val="00583A9A"/>
    <w:rsid w:val="00584765"/>
    <w:rsid w:val="00587DD8"/>
    <w:rsid w:val="005927DF"/>
    <w:rsid w:val="0059316B"/>
    <w:rsid w:val="00593CD0"/>
    <w:rsid w:val="005A3D4F"/>
    <w:rsid w:val="005A3FC7"/>
    <w:rsid w:val="005A4254"/>
    <w:rsid w:val="005A7FAF"/>
    <w:rsid w:val="005B14F4"/>
    <w:rsid w:val="005B1D48"/>
    <w:rsid w:val="005B2EDB"/>
    <w:rsid w:val="005B43A1"/>
    <w:rsid w:val="005B54D6"/>
    <w:rsid w:val="005B5E79"/>
    <w:rsid w:val="005B61D6"/>
    <w:rsid w:val="005B7650"/>
    <w:rsid w:val="005C0915"/>
    <w:rsid w:val="005C1C6E"/>
    <w:rsid w:val="005C39DE"/>
    <w:rsid w:val="005D09BE"/>
    <w:rsid w:val="005D351C"/>
    <w:rsid w:val="005D427A"/>
    <w:rsid w:val="005D5F86"/>
    <w:rsid w:val="005E0EB8"/>
    <w:rsid w:val="005E1BF3"/>
    <w:rsid w:val="005E3060"/>
    <w:rsid w:val="005F01B0"/>
    <w:rsid w:val="005F0384"/>
    <w:rsid w:val="005F0E0B"/>
    <w:rsid w:val="005F4C1C"/>
    <w:rsid w:val="005F5390"/>
    <w:rsid w:val="005F72BB"/>
    <w:rsid w:val="00601214"/>
    <w:rsid w:val="00604D62"/>
    <w:rsid w:val="00605186"/>
    <w:rsid w:val="00607873"/>
    <w:rsid w:val="00607CE2"/>
    <w:rsid w:val="00613C90"/>
    <w:rsid w:val="006140A2"/>
    <w:rsid w:val="0061706E"/>
    <w:rsid w:val="00622936"/>
    <w:rsid w:val="00622C1C"/>
    <w:rsid w:val="006240D7"/>
    <w:rsid w:val="00624300"/>
    <w:rsid w:val="0062600D"/>
    <w:rsid w:val="00626E1B"/>
    <w:rsid w:val="00631227"/>
    <w:rsid w:val="006316BD"/>
    <w:rsid w:val="00633BD7"/>
    <w:rsid w:val="00635323"/>
    <w:rsid w:val="00640A37"/>
    <w:rsid w:val="00650D5B"/>
    <w:rsid w:val="00650F04"/>
    <w:rsid w:val="006519C2"/>
    <w:rsid w:val="00652C94"/>
    <w:rsid w:val="00653677"/>
    <w:rsid w:val="006538FE"/>
    <w:rsid w:val="00653CB7"/>
    <w:rsid w:val="00660DE2"/>
    <w:rsid w:val="00662973"/>
    <w:rsid w:val="00663612"/>
    <w:rsid w:val="00663701"/>
    <w:rsid w:val="006666DC"/>
    <w:rsid w:val="00667F5A"/>
    <w:rsid w:val="00671B49"/>
    <w:rsid w:val="00673DB8"/>
    <w:rsid w:val="006748F4"/>
    <w:rsid w:val="00675097"/>
    <w:rsid w:val="006762F3"/>
    <w:rsid w:val="00677FE2"/>
    <w:rsid w:val="006806F9"/>
    <w:rsid w:val="00681AA1"/>
    <w:rsid w:val="0068501C"/>
    <w:rsid w:val="00685C31"/>
    <w:rsid w:val="006861E6"/>
    <w:rsid w:val="00693E45"/>
    <w:rsid w:val="00694405"/>
    <w:rsid w:val="0069499C"/>
    <w:rsid w:val="00694C70"/>
    <w:rsid w:val="00696776"/>
    <w:rsid w:val="006A016C"/>
    <w:rsid w:val="006A1A36"/>
    <w:rsid w:val="006A7A07"/>
    <w:rsid w:val="006B0957"/>
    <w:rsid w:val="006B4CC7"/>
    <w:rsid w:val="006B5546"/>
    <w:rsid w:val="006C04AC"/>
    <w:rsid w:val="006C11B5"/>
    <w:rsid w:val="006C75F2"/>
    <w:rsid w:val="006D04A6"/>
    <w:rsid w:val="006D0795"/>
    <w:rsid w:val="006D1A7B"/>
    <w:rsid w:val="006D1C38"/>
    <w:rsid w:val="006D2832"/>
    <w:rsid w:val="006D4F86"/>
    <w:rsid w:val="006D6768"/>
    <w:rsid w:val="006D6BCC"/>
    <w:rsid w:val="006D733A"/>
    <w:rsid w:val="006D7755"/>
    <w:rsid w:val="006E12D0"/>
    <w:rsid w:val="006E6316"/>
    <w:rsid w:val="006F056E"/>
    <w:rsid w:val="006F1289"/>
    <w:rsid w:val="006F175C"/>
    <w:rsid w:val="006F17C4"/>
    <w:rsid w:val="006F3695"/>
    <w:rsid w:val="006F493A"/>
    <w:rsid w:val="006F6C51"/>
    <w:rsid w:val="0070101B"/>
    <w:rsid w:val="00701A22"/>
    <w:rsid w:val="00702446"/>
    <w:rsid w:val="007060EC"/>
    <w:rsid w:val="00706BE1"/>
    <w:rsid w:val="0071029A"/>
    <w:rsid w:val="0071090F"/>
    <w:rsid w:val="00710A75"/>
    <w:rsid w:val="007144E6"/>
    <w:rsid w:val="00716A11"/>
    <w:rsid w:val="00716CE3"/>
    <w:rsid w:val="007176B4"/>
    <w:rsid w:val="00722B3D"/>
    <w:rsid w:val="00723864"/>
    <w:rsid w:val="00724768"/>
    <w:rsid w:val="0072482D"/>
    <w:rsid w:val="0072503B"/>
    <w:rsid w:val="007257BA"/>
    <w:rsid w:val="0072627E"/>
    <w:rsid w:val="0072685A"/>
    <w:rsid w:val="00726C63"/>
    <w:rsid w:val="007277F2"/>
    <w:rsid w:val="00732510"/>
    <w:rsid w:val="00733010"/>
    <w:rsid w:val="007346BC"/>
    <w:rsid w:val="00735D15"/>
    <w:rsid w:val="00736A95"/>
    <w:rsid w:val="00742AD6"/>
    <w:rsid w:val="00743F56"/>
    <w:rsid w:val="00751096"/>
    <w:rsid w:val="007526A6"/>
    <w:rsid w:val="00755F2F"/>
    <w:rsid w:val="00757819"/>
    <w:rsid w:val="007626A4"/>
    <w:rsid w:val="00765702"/>
    <w:rsid w:val="00765E41"/>
    <w:rsid w:val="00767684"/>
    <w:rsid w:val="00774B2C"/>
    <w:rsid w:val="00777A17"/>
    <w:rsid w:val="00784D68"/>
    <w:rsid w:val="00786776"/>
    <w:rsid w:val="00791989"/>
    <w:rsid w:val="00792B0A"/>
    <w:rsid w:val="00795D68"/>
    <w:rsid w:val="007B0CE3"/>
    <w:rsid w:val="007B11CE"/>
    <w:rsid w:val="007B11F3"/>
    <w:rsid w:val="007B13AA"/>
    <w:rsid w:val="007B191A"/>
    <w:rsid w:val="007B2B49"/>
    <w:rsid w:val="007B3A2E"/>
    <w:rsid w:val="007B4606"/>
    <w:rsid w:val="007B4EF0"/>
    <w:rsid w:val="007B6614"/>
    <w:rsid w:val="007C1F90"/>
    <w:rsid w:val="007C2015"/>
    <w:rsid w:val="007C2107"/>
    <w:rsid w:val="007C30CC"/>
    <w:rsid w:val="007C42D3"/>
    <w:rsid w:val="007C6358"/>
    <w:rsid w:val="007C73CA"/>
    <w:rsid w:val="007C75D5"/>
    <w:rsid w:val="007D2FB0"/>
    <w:rsid w:val="007D3572"/>
    <w:rsid w:val="007D56D6"/>
    <w:rsid w:val="007D56E6"/>
    <w:rsid w:val="007D5E9B"/>
    <w:rsid w:val="007E071E"/>
    <w:rsid w:val="007E218B"/>
    <w:rsid w:val="007E3EA2"/>
    <w:rsid w:val="007E57A0"/>
    <w:rsid w:val="007E671B"/>
    <w:rsid w:val="007E7DAD"/>
    <w:rsid w:val="007F03E6"/>
    <w:rsid w:val="007F42C1"/>
    <w:rsid w:val="007F5D5D"/>
    <w:rsid w:val="007F6160"/>
    <w:rsid w:val="007F7F67"/>
    <w:rsid w:val="00801147"/>
    <w:rsid w:val="0080576E"/>
    <w:rsid w:val="00811630"/>
    <w:rsid w:val="00813B8E"/>
    <w:rsid w:val="00814A25"/>
    <w:rsid w:val="008220D8"/>
    <w:rsid w:val="008304B1"/>
    <w:rsid w:val="00831576"/>
    <w:rsid w:val="00834723"/>
    <w:rsid w:val="00834737"/>
    <w:rsid w:val="0084013E"/>
    <w:rsid w:val="00840356"/>
    <w:rsid w:val="008403AA"/>
    <w:rsid w:val="008418B2"/>
    <w:rsid w:val="00843E2B"/>
    <w:rsid w:val="0084434D"/>
    <w:rsid w:val="00844875"/>
    <w:rsid w:val="00845952"/>
    <w:rsid w:val="00850D17"/>
    <w:rsid w:val="008511FB"/>
    <w:rsid w:val="00851D99"/>
    <w:rsid w:val="00852EFE"/>
    <w:rsid w:val="00855D97"/>
    <w:rsid w:val="008610C7"/>
    <w:rsid w:val="00867B10"/>
    <w:rsid w:val="00867F30"/>
    <w:rsid w:val="0087259E"/>
    <w:rsid w:val="00872982"/>
    <w:rsid w:val="00874202"/>
    <w:rsid w:val="00877572"/>
    <w:rsid w:val="00883FA9"/>
    <w:rsid w:val="00884CB2"/>
    <w:rsid w:val="00890340"/>
    <w:rsid w:val="00890481"/>
    <w:rsid w:val="00890E03"/>
    <w:rsid w:val="00893E30"/>
    <w:rsid w:val="008970E7"/>
    <w:rsid w:val="0089784F"/>
    <w:rsid w:val="00897F81"/>
    <w:rsid w:val="008A0D0F"/>
    <w:rsid w:val="008A4022"/>
    <w:rsid w:val="008A479E"/>
    <w:rsid w:val="008A4FA5"/>
    <w:rsid w:val="008A6678"/>
    <w:rsid w:val="008A6B52"/>
    <w:rsid w:val="008A79DD"/>
    <w:rsid w:val="008C0257"/>
    <w:rsid w:val="008C174E"/>
    <w:rsid w:val="008C1FD7"/>
    <w:rsid w:val="008C2207"/>
    <w:rsid w:val="008C3674"/>
    <w:rsid w:val="008C41A8"/>
    <w:rsid w:val="008D1382"/>
    <w:rsid w:val="008D29B8"/>
    <w:rsid w:val="008D3FC2"/>
    <w:rsid w:val="008D4C84"/>
    <w:rsid w:val="008E5308"/>
    <w:rsid w:val="008F2B54"/>
    <w:rsid w:val="008F2E71"/>
    <w:rsid w:val="008F3C60"/>
    <w:rsid w:val="008F7061"/>
    <w:rsid w:val="008F75AD"/>
    <w:rsid w:val="00901F6F"/>
    <w:rsid w:val="0090400E"/>
    <w:rsid w:val="00906BC7"/>
    <w:rsid w:val="0091024E"/>
    <w:rsid w:val="00910F92"/>
    <w:rsid w:val="0091223E"/>
    <w:rsid w:val="0091288A"/>
    <w:rsid w:val="009138BD"/>
    <w:rsid w:val="00913B76"/>
    <w:rsid w:val="009150E3"/>
    <w:rsid w:val="009179D1"/>
    <w:rsid w:val="0092072B"/>
    <w:rsid w:val="0092329B"/>
    <w:rsid w:val="0093150B"/>
    <w:rsid w:val="009319BA"/>
    <w:rsid w:val="00932962"/>
    <w:rsid w:val="00936D80"/>
    <w:rsid w:val="00937621"/>
    <w:rsid w:val="009401B4"/>
    <w:rsid w:val="00940B06"/>
    <w:rsid w:val="00950618"/>
    <w:rsid w:val="00951A96"/>
    <w:rsid w:val="0095204E"/>
    <w:rsid w:val="00955785"/>
    <w:rsid w:val="00955947"/>
    <w:rsid w:val="00956DC6"/>
    <w:rsid w:val="00957ECC"/>
    <w:rsid w:val="00960151"/>
    <w:rsid w:val="00960646"/>
    <w:rsid w:val="00963A10"/>
    <w:rsid w:val="00965490"/>
    <w:rsid w:val="00967398"/>
    <w:rsid w:val="009707A7"/>
    <w:rsid w:val="0097171C"/>
    <w:rsid w:val="009733EB"/>
    <w:rsid w:val="00973A72"/>
    <w:rsid w:val="0097402E"/>
    <w:rsid w:val="009749DA"/>
    <w:rsid w:val="00975D71"/>
    <w:rsid w:val="00976BE4"/>
    <w:rsid w:val="00980AD9"/>
    <w:rsid w:val="009852C9"/>
    <w:rsid w:val="009863CA"/>
    <w:rsid w:val="00986E7E"/>
    <w:rsid w:val="009905A9"/>
    <w:rsid w:val="0099182F"/>
    <w:rsid w:val="00993FC7"/>
    <w:rsid w:val="0099647E"/>
    <w:rsid w:val="009A037A"/>
    <w:rsid w:val="009A7CAD"/>
    <w:rsid w:val="009B0203"/>
    <w:rsid w:val="009B173E"/>
    <w:rsid w:val="009B2BEA"/>
    <w:rsid w:val="009B3345"/>
    <w:rsid w:val="009B41BA"/>
    <w:rsid w:val="009B6491"/>
    <w:rsid w:val="009B6493"/>
    <w:rsid w:val="009B6763"/>
    <w:rsid w:val="009C6D05"/>
    <w:rsid w:val="009C70AD"/>
    <w:rsid w:val="009D0E3A"/>
    <w:rsid w:val="009D3197"/>
    <w:rsid w:val="009D3B74"/>
    <w:rsid w:val="009D54F6"/>
    <w:rsid w:val="009D7997"/>
    <w:rsid w:val="009E3053"/>
    <w:rsid w:val="009E5EED"/>
    <w:rsid w:val="009E660C"/>
    <w:rsid w:val="009E6D57"/>
    <w:rsid w:val="009F29D7"/>
    <w:rsid w:val="009F3297"/>
    <w:rsid w:val="009F6762"/>
    <w:rsid w:val="009F6A65"/>
    <w:rsid w:val="009F6D60"/>
    <w:rsid w:val="00A01208"/>
    <w:rsid w:val="00A01743"/>
    <w:rsid w:val="00A05A4D"/>
    <w:rsid w:val="00A0764C"/>
    <w:rsid w:val="00A122C3"/>
    <w:rsid w:val="00A14997"/>
    <w:rsid w:val="00A24D51"/>
    <w:rsid w:val="00A25469"/>
    <w:rsid w:val="00A2732B"/>
    <w:rsid w:val="00A312E8"/>
    <w:rsid w:val="00A36F63"/>
    <w:rsid w:val="00A37A8A"/>
    <w:rsid w:val="00A410CF"/>
    <w:rsid w:val="00A42DBC"/>
    <w:rsid w:val="00A435E0"/>
    <w:rsid w:val="00A44544"/>
    <w:rsid w:val="00A463F1"/>
    <w:rsid w:val="00A47BD6"/>
    <w:rsid w:val="00A500B7"/>
    <w:rsid w:val="00A62C5D"/>
    <w:rsid w:val="00A62E4D"/>
    <w:rsid w:val="00A646F6"/>
    <w:rsid w:val="00A6488F"/>
    <w:rsid w:val="00A66235"/>
    <w:rsid w:val="00A66CD2"/>
    <w:rsid w:val="00A67558"/>
    <w:rsid w:val="00A714AD"/>
    <w:rsid w:val="00A73280"/>
    <w:rsid w:val="00A76ABA"/>
    <w:rsid w:val="00A80D41"/>
    <w:rsid w:val="00A83135"/>
    <w:rsid w:val="00A84A39"/>
    <w:rsid w:val="00A863A2"/>
    <w:rsid w:val="00A92925"/>
    <w:rsid w:val="00A94D4B"/>
    <w:rsid w:val="00A96553"/>
    <w:rsid w:val="00A9703F"/>
    <w:rsid w:val="00A97252"/>
    <w:rsid w:val="00A97969"/>
    <w:rsid w:val="00AA061F"/>
    <w:rsid w:val="00AA1A38"/>
    <w:rsid w:val="00AA3C83"/>
    <w:rsid w:val="00AA524B"/>
    <w:rsid w:val="00AA6DA4"/>
    <w:rsid w:val="00AB50D9"/>
    <w:rsid w:val="00AB545C"/>
    <w:rsid w:val="00AB6F65"/>
    <w:rsid w:val="00AB770B"/>
    <w:rsid w:val="00AC226D"/>
    <w:rsid w:val="00AC43E1"/>
    <w:rsid w:val="00AC67A3"/>
    <w:rsid w:val="00AC7B6E"/>
    <w:rsid w:val="00AD1B45"/>
    <w:rsid w:val="00AD779B"/>
    <w:rsid w:val="00AE117C"/>
    <w:rsid w:val="00AE2535"/>
    <w:rsid w:val="00AE4EAD"/>
    <w:rsid w:val="00AE5A13"/>
    <w:rsid w:val="00AE6354"/>
    <w:rsid w:val="00AF0BD3"/>
    <w:rsid w:val="00AF2370"/>
    <w:rsid w:val="00AF3F96"/>
    <w:rsid w:val="00B01F34"/>
    <w:rsid w:val="00B02377"/>
    <w:rsid w:val="00B035E6"/>
    <w:rsid w:val="00B05DA4"/>
    <w:rsid w:val="00B10A83"/>
    <w:rsid w:val="00B11478"/>
    <w:rsid w:val="00B13103"/>
    <w:rsid w:val="00B15CA2"/>
    <w:rsid w:val="00B175AF"/>
    <w:rsid w:val="00B20EB2"/>
    <w:rsid w:val="00B22B67"/>
    <w:rsid w:val="00B24EE3"/>
    <w:rsid w:val="00B25FE4"/>
    <w:rsid w:val="00B30C60"/>
    <w:rsid w:val="00B35CE2"/>
    <w:rsid w:val="00B41AFA"/>
    <w:rsid w:val="00B427EF"/>
    <w:rsid w:val="00B42E24"/>
    <w:rsid w:val="00B4452B"/>
    <w:rsid w:val="00B53222"/>
    <w:rsid w:val="00B55B75"/>
    <w:rsid w:val="00B56E20"/>
    <w:rsid w:val="00B57B7E"/>
    <w:rsid w:val="00B608E4"/>
    <w:rsid w:val="00B632C7"/>
    <w:rsid w:val="00B6431E"/>
    <w:rsid w:val="00B6783A"/>
    <w:rsid w:val="00B67849"/>
    <w:rsid w:val="00B71373"/>
    <w:rsid w:val="00B73E73"/>
    <w:rsid w:val="00B742C3"/>
    <w:rsid w:val="00B775DF"/>
    <w:rsid w:val="00B809DB"/>
    <w:rsid w:val="00B83A1E"/>
    <w:rsid w:val="00B85D10"/>
    <w:rsid w:val="00B867F7"/>
    <w:rsid w:val="00B911BA"/>
    <w:rsid w:val="00B92854"/>
    <w:rsid w:val="00B931E6"/>
    <w:rsid w:val="00B9445B"/>
    <w:rsid w:val="00B94D13"/>
    <w:rsid w:val="00BA2261"/>
    <w:rsid w:val="00BA3413"/>
    <w:rsid w:val="00BA4EBE"/>
    <w:rsid w:val="00BA6E43"/>
    <w:rsid w:val="00BB0AB2"/>
    <w:rsid w:val="00BB2C5D"/>
    <w:rsid w:val="00BB2E14"/>
    <w:rsid w:val="00BB37FC"/>
    <w:rsid w:val="00BB474C"/>
    <w:rsid w:val="00BB5E88"/>
    <w:rsid w:val="00BB62C7"/>
    <w:rsid w:val="00BB7569"/>
    <w:rsid w:val="00BC4874"/>
    <w:rsid w:val="00BC5E9F"/>
    <w:rsid w:val="00BC5F85"/>
    <w:rsid w:val="00BD5083"/>
    <w:rsid w:val="00BD5C13"/>
    <w:rsid w:val="00BD7CD3"/>
    <w:rsid w:val="00BE3BD4"/>
    <w:rsid w:val="00BE49AF"/>
    <w:rsid w:val="00BE4CFD"/>
    <w:rsid w:val="00BE504A"/>
    <w:rsid w:val="00BF033E"/>
    <w:rsid w:val="00BF0D5E"/>
    <w:rsid w:val="00BF0FE8"/>
    <w:rsid w:val="00BF52C6"/>
    <w:rsid w:val="00BF579B"/>
    <w:rsid w:val="00C042AF"/>
    <w:rsid w:val="00C0479F"/>
    <w:rsid w:val="00C12525"/>
    <w:rsid w:val="00C146D1"/>
    <w:rsid w:val="00C17DA3"/>
    <w:rsid w:val="00C23974"/>
    <w:rsid w:val="00C2508B"/>
    <w:rsid w:val="00C25D29"/>
    <w:rsid w:val="00C261E5"/>
    <w:rsid w:val="00C270D2"/>
    <w:rsid w:val="00C3577A"/>
    <w:rsid w:val="00C379B4"/>
    <w:rsid w:val="00C41747"/>
    <w:rsid w:val="00C4175C"/>
    <w:rsid w:val="00C41FF2"/>
    <w:rsid w:val="00C45413"/>
    <w:rsid w:val="00C46ED2"/>
    <w:rsid w:val="00C54487"/>
    <w:rsid w:val="00C54AD7"/>
    <w:rsid w:val="00C56A04"/>
    <w:rsid w:val="00C574D0"/>
    <w:rsid w:val="00C577D3"/>
    <w:rsid w:val="00C61B4B"/>
    <w:rsid w:val="00C61FB1"/>
    <w:rsid w:val="00C65B99"/>
    <w:rsid w:val="00C71218"/>
    <w:rsid w:val="00C71B5D"/>
    <w:rsid w:val="00C72888"/>
    <w:rsid w:val="00C733A1"/>
    <w:rsid w:val="00C80B1F"/>
    <w:rsid w:val="00C869C6"/>
    <w:rsid w:val="00C87E78"/>
    <w:rsid w:val="00C906D9"/>
    <w:rsid w:val="00C91A41"/>
    <w:rsid w:val="00C920D2"/>
    <w:rsid w:val="00C93612"/>
    <w:rsid w:val="00C93DD5"/>
    <w:rsid w:val="00C941CA"/>
    <w:rsid w:val="00C953EA"/>
    <w:rsid w:val="00CA03A2"/>
    <w:rsid w:val="00CA1084"/>
    <w:rsid w:val="00CA32CB"/>
    <w:rsid w:val="00CA550F"/>
    <w:rsid w:val="00CB0D2A"/>
    <w:rsid w:val="00CB10CB"/>
    <w:rsid w:val="00CB3DC2"/>
    <w:rsid w:val="00CB420D"/>
    <w:rsid w:val="00CB5334"/>
    <w:rsid w:val="00CB671B"/>
    <w:rsid w:val="00CB7D19"/>
    <w:rsid w:val="00CB7FF1"/>
    <w:rsid w:val="00CC15FB"/>
    <w:rsid w:val="00CC1E01"/>
    <w:rsid w:val="00CC3554"/>
    <w:rsid w:val="00CC49EC"/>
    <w:rsid w:val="00CC725E"/>
    <w:rsid w:val="00CD2354"/>
    <w:rsid w:val="00CD24F7"/>
    <w:rsid w:val="00CD3D7F"/>
    <w:rsid w:val="00CE5D93"/>
    <w:rsid w:val="00CE6326"/>
    <w:rsid w:val="00CE6C62"/>
    <w:rsid w:val="00CF0EAF"/>
    <w:rsid w:val="00CF5327"/>
    <w:rsid w:val="00CF739C"/>
    <w:rsid w:val="00D02D13"/>
    <w:rsid w:val="00D04B07"/>
    <w:rsid w:val="00D06BF9"/>
    <w:rsid w:val="00D107E7"/>
    <w:rsid w:val="00D10A14"/>
    <w:rsid w:val="00D11ABF"/>
    <w:rsid w:val="00D13E15"/>
    <w:rsid w:val="00D159DE"/>
    <w:rsid w:val="00D17998"/>
    <w:rsid w:val="00D2086F"/>
    <w:rsid w:val="00D221E5"/>
    <w:rsid w:val="00D232E8"/>
    <w:rsid w:val="00D2408C"/>
    <w:rsid w:val="00D273D3"/>
    <w:rsid w:val="00D34200"/>
    <w:rsid w:val="00D34B4A"/>
    <w:rsid w:val="00D34C56"/>
    <w:rsid w:val="00D36EFC"/>
    <w:rsid w:val="00D3737A"/>
    <w:rsid w:val="00D37E9A"/>
    <w:rsid w:val="00D416CA"/>
    <w:rsid w:val="00D42E73"/>
    <w:rsid w:val="00D43C3E"/>
    <w:rsid w:val="00D461A9"/>
    <w:rsid w:val="00D50042"/>
    <w:rsid w:val="00D52921"/>
    <w:rsid w:val="00D62069"/>
    <w:rsid w:val="00D621A8"/>
    <w:rsid w:val="00D65361"/>
    <w:rsid w:val="00D67174"/>
    <w:rsid w:val="00D7259F"/>
    <w:rsid w:val="00D734D4"/>
    <w:rsid w:val="00D740D5"/>
    <w:rsid w:val="00D74A37"/>
    <w:rsid w:val="00D75E47"/>
    <w:rsid w:val="00D761E4"/>
    <w:rsid w:val="00D87B03"/>
    <w:rsid w:val="00D9128E"/>
    <w:rsid w:val="00D925C2"/>
    <w:rsid w:val="00D92991"/>
    <w:rsid w:val="00D9497C"/>
    <w:rsid w:val="00DA7EE4"/>
    <w:rsid w:val="00DB0928"/>
    <w:rsid w:val="00DB21FB"/>
    <w:rsid w:val="00DB3C3C"/>
    <w:rsid w:val="00DB4801"/>
    <w:rsid w:val="00DB7EFE"/>
    <w:rsid w:val="00DC20B9"/>
    <w:rsid w:val="00DC56DB"/>
    <w:rsid w:val="00DC79A8"/>
    <w:rsid w:val="00DD33E5"/>
    <w:rsid w:val="00DD370F"/>
    <w:rsid w:val="00DD41D0"/>
    <w:rsid w:val="00DD6570"/>
    <w:rsid w:val="00DE2198"/>
    <w:rsid w:val="00DF162A"/>
    <w:rsid w:val="00DF1951"/>
    <w:rsid w:val="00DF1B81"/>
    <w:rsid w:val="00DF263C"/>
    <w:rsid w:val="00E015D4"/>
    <w:rsid w:val="00E11872"/>
    <w:rsid w:val="00E12BD0"/>
    <w:rsid w:val="00E14996"/>
    <w:rsid w:val="00E14E9C"/>
    <w:rsid w:val="00E1777D"/>
    <w:rsid w:val="00E179AA"/>
    <w:rsid w:val="00E21974"/>
    <w:rsid w:val="00E24314"/>
    <w:rsid w:val="00E310DC"/>
    <w:rsid w:val="00E32589"/>
    <w:rsid w:val="00E33476"/>
    <w:rsid w:val="00E35AD6"/>
    <w:rsid w:val="00E36303"/>
    <w:rsid w:val="00E41042"/>
    <w:rsid w:val="00E419D7"/>
    <w:rsid w:val="00E41A64"/>
    <w:rsid w:val="00E43392"/>
    <w:rsid w:val="00E4362A"/>
    <w:rsid w:val="00E4511B"/>
    <w:rsid w:val="00E47799"/>
    <w:rsid w:val="00E52525"/>
    <w:rsid w:val="00E55209"/>
    <w:rsid w:val="00E55FE0"/>
    <w:rsid w:val="00E56CEB"/>
    <w:rsid w:val="00E57C01"/>
    <w:rsid w:val="00E60031"/>
    <w:rsid w:val="00E6049F"/>
    <w:rsid w:val="00E60B1D"/>
    <w:rsid w:val="00E619F8"/>
    <w:rsid w:val="00E66459"/>
    <w:rsid w:val="00E668C2"/>
    <w:rsid w:val="00E70480"/>
    <w:rsid w:val="00E755AB"/>
    <w:rsid w:val="00E75CAF"/>
    <w:rsid w:val="00E80E69"/>
    <w:rsid w:val="00E811FB"/>
    <w:rsid w:val="00E82638"/>
    <w:rsid w:val="00E849EF"/>
    <w:rsid w:val="00E87FD3"/>
    <w:rsid w:val="00E90843"/>
    <w:rsid w:val="00E94C57"/>
    <w:rsid w:val="00E9647E"/>
    <w:rsid w:val="00E97AAB"/>
    <w:rsid w:val="00EA07E8"/>
    <w:rsid w:val="00EA1B94"/>
    <w:rsid w:val="00EA1FC5"/>
    <w:rsid w:val="00EB034E"/>
    <w:rsid w:val="00EB3B9B"/>
    <w:rsid w:val="00EB7CA0"/>
    <w:rsid w:val="00EC16EE"/>
    <w:rsid w:val="00EC4100"/>
    <w:rsid w:val="00EC68BF"/>
    <w:rsid w:val="00EC75A1"/>
    <w:rsid w:val="00ED1D6F"/>
    <w:rsid w:val="00ED7927"/>
    <w:rsid w:val="00EE1D99"/>
    <w:rsid w:val="00EE1EC3"/>
    <w:rsid w:val="00EE20F7"/>
    <w:rsid w:val="00EE25FA"/>
    <w:rsid w:val="00EE45F2"/>
    <w:rsid w:val="00EE68A9"/>
    <w:rsid w:val="00EF08E7"/>
    <w:rsid w:val="00EF3D70"/>
    <w:rsid w:val="00EF7712"/>
    <w:rsid w:val="00F0278F"/>
    <w:rsid w:val="00F02A42"/>
    <w:rsid w:val="00F047D3"/>
    <w:rsid w:val="00F04E24"/>
    <w:rsid w:val="00F0671B"/>
    <w:rsid w:val="00F067BC"/>
    <w:rsid w:val="00F10E2A"/>
    <w:rsid w:val="00F126EF"/>
    <w:rsid w:val="00F12A0D"/>
    <w:rsid w:val="00F1364A"/>
    <w:rsid w:val="00F16D4F"/>
    <w:rsid w:val="00F17128"/>
    <w:rsid w:val="00F2329B"/>
    <w:rsid w:val="00F233FE"/>
    <w:rsid w:val="00F254B1"/>
    <w:rsid w:val="00F255CE"/>
    <w:rsid w:val="00F313B2"/>
    <w:rsid w:val="00F33313"/>
    <w:rsid w:val="00F40DE4"/>
    <w:rsid w:val="00F43E87"/>
    <w:rsid w:val="00F46A0E"/>
    <w:rsid w:val="00F47596"/>
    <w:rsid w:val="00F551A4"/>
    <w:rsid w:val="00F551AF"/>
    <w:rsid w:val="00F558F6"/>
    <w:rsid w:val="00F562D5"/>
    <w:rsid w:val="00F56EB9"/>
    <w:rsid w:val="00F57209"/>
    <w:rsid w:val="00F57FA2"/>
    <w:rsid w:val="00F60E49"/>
    <w:rsid w:val="00F6240D"/>
    <w:rsid w:val="00F62A14"/>
    <w:rsid w:val="00F62EE1"/>
    <w:rsid w:val="00F6578E"/>
    <w:rsid w:val="00F66807"/>
    <w:rsid w:val="00F70358"/>
    <w:rsid w:val="00F726EC"/>
    <w:rsid w:val="00F7337D"/>
    <w:rsid w:val="00F73B6B"/>
    <w:rsid w:val="00F74FD3"/>
    <w:rsid w:val="00F81C5A"/>
    <w:rsid w:val="00F82854"/>
    <w:rsid w:val="00F82D51"/>
    <w:rsid w:val="00F84087"/>
    <w:rsid w:val="00F93D60"/>
    <w:rsid w:val="00F9423D"/>
    <w:rsid w:val="00F973D4"/>
    <w:rsid w:val="00F97DB3"/>
    <w:rsid w:val="00F97F87"/>
    <w:rsid w:val="00FA0013"/>
    <w:rsid w:val="00FA124C"/>
    <w:rsid w:val="00FA19FA"/>
    <w:rsid w:val="00FA2F7C"/>
    <w:rsid w:val="00FA4B77"/>
    <w:rsid w:val="00FA6B31"/>
    <w:rsid w:val="00FB031D"/>
    <w:rsid w:val="00FB059E"/>
    <w:rsid w:val="00FB294C"/>
    <w:rsid w:val="00FB3582"/>
    <w:rsid w:val="00FB3710"/>
    <w:rsid w:val="00FB37B5"/>
    <w:rsid w:val="00FB4A79"/>
    <w:rsid w:val="00FB58DD"/>
    <w:rsid w:val="00FB69DE"/>
    <w:rsid w:val="00FC00BB"/>
    <w:rsid w:val="00FC109E"/>
    <w:rsid w:val="00FC1335"/>
    <w:rsid w:val="00FC3771"/>
    <w:rsid w:val="00FC3EB0"/>
    <w:rsid w:val="00FC5E7D"/>
    <w:rsid w:val="00FD0371"/>
    <w:rsid w:val="00FD0F53"/>
    <w:rsid w:val="00FD2431"/>
    <w:rsid w:val="00FE1947"/>
    <w:rsid w:val="00FE1A49"/>
    <w:rsid w:val="00FE4D3C"/>
    <w:rsid w:val="00FF186E"/>
    <w:rsid w:val="00FF1DA8"/>
    <w:rsid w:val="00FF344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color w:val="0000FF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2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0000FF"/>
      <w:sz w:val="22"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napToGrid w:val="0"/>
      <w:color w:val="0000FF"/>
      <w:lang w:val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FF"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napToGrid w:val="0"/>
      <w:sz w:val="20"/>
      <w:lang w:val="en-AU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napToGrid w:val="0"/>
      <w:color w:val="0000FF"/>
      <w:sz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napToGrid w:val="0"/>
      <w:color w:val="0000FF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3D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46D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color w:val="0000FF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2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0000FF"/>
      <w:sz w:val="22"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napToGrid w:val="0"/>
      <w:color w:val="0000FF"/>
      <w:lang w:val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FF"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napToGrid w:val="0"/>
      <w:sz w:val="20"/>
      <w:lang w:val="en-AU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napToGrid w:val="0"/>
      <w:color w:val="0000FF"/>
      <w:sz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napToGrid w:val="0"/>
      <w:color w:val="0000FF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3D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46D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salu\Desktop\&#304;&#351;ler\B&#304;ST%20Bankalar\B&#304;ST%20Aral&#305;k%202015\B&#304;ST%20Aral&#305;k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salu\Desktop\&#304;&#351;ler\B&#304;ST%20Bankalar\B&#304;ST%20Aral&#305;k%202015\B&#304;ST%20Aral&#305;k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01879565091601"/>
          <c:y val="0.10280405107346145"/>
          <c:w val="0.8168231754008245"/>
          <c:h val="0.5919005578848098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'Aralık 2015'!$D$84</c:f>
              <c:strCache>
                <c:ptCount val="1"/>
                <c:pt idx="0">
                  <c:v>Yıllık Kar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FF"/>
              </a:solidFill>
              <a:prstDash val="solid"/>
            </a:ln>
          </c:spPr>
          <c:invertIfNegative val="0"/>
          <c:cat>
            <c:numRef>
              <c:f>'Aralık 2015'!$C$89:$C$100</c:f>
              <c:numCache>
                <c:formatCode>mmm\-yy</c:formatCode>
                <c:ptCount val="12"/>
                <c:pt idx="0">
                  <c:v>41334</c:v>
                </c:pt>
                <c:pt idx="1">
                  <c:v>41426</c:v>
                </c:pt>
                <c:pt idx="2">
                  <c:v>41518</c:v>
                </c:pt>
                <c:pt idx="3">
                  <c:v>41609</c:v>
                </c:pt>
                <c:pt idx="4">
                  <c:v>41699</c:v>
                </c:pt>
                <c:pt idx="5">
                  <c:v>41791</c:v>
                </c:pt>
                <c:pt idx="6">
                  <c:v>41883</c:v>
                </c:pt>
                <c:pt idx="7">
                  <c:v>41974</c:v>
                </c:pt>
                <c:pt idx="8">
                  <c:v>42064</c:v>
                </c:pt>
                <c:pt idx="9">
                  <c:v>42156</c:v>
                </c:pt>
                <c:pt idx="10">
                  <c:v>42248</c:v>
                </c:pt>
                <c:pt idx="11">
                  <c:v>42339</c:v>
                </c:pt>
              </c:numCache>
            </c:numRef>
          </c:cat>
          <c:val>
            <c:numRef>
              <c:f>'Aralık 2015'!$D$89:$D$100</c:f>
              <c:numCache>
                <c:formatCode>#,##0</c:formatCode>
                <c:ptCount val="12"/>
                <c:pt idx="0">
                  <c:v>18238</c:v>
                </c:pt>
                <c:pt idx="1">
                  <c:v>19091</c:v>
                </c:pt>
                <c:pt idx="2">
                  <c:v>19637</c:v>
                </c:pt>
                <c:pt idx="3">
                  <c:v>18093</c:v>
                </c:pt>
                <c:pt idx="4">
                  <c:v>16801</c:v>
                </c:pt>
                <c:pt idx="5">
                  <c:v>16312</c:v>
                </c:pt>
                <c:pt idx="6">
                  <c:v>16120</c:v>
                </c:pt>
                <c:pt idx="7">
                  <c:v>17226</c:v>
                </c:pt>
                <c:pt idx="8">
                  <c:v>17727</c:v>
                </c:pt>
                <c:pt idx="9">
                  <c:v>17874</c:v>
                </c:pt>
                <c:pt idx="10">
                  <c:v>16869</c:v>
                </c:pt>
                <c:pt idx="11">
                  <c:v>17144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979904"/>
        <c:axId val="234251008"/>
      </c:barChart>
      <c:lineChart>
        <c:grouping val="standard"/>
        <c:varyColors val="0"/>
        <c:ser>
          <c:idx val="0"/>
          <c:order val="1"/>
          <c:tx>
            <c:strRef>
              <c:f>'Aralık 2015'!$E$84</c:f>
              <c:strCache>
                <c:ptCount val="1"/>
                <c:pt idx="0">
                  <c:v>Ortalama Özkaynak Karlılığı (sağ eksen)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'Aralık 2015'!$C$89:$C$100</c:f>
              <c:numCache>
                <c:formatCode>mmm\-yy</c:formatCode>
                <c:ptCount val="12"/>
                <c:pt idx="0">
                  <c:v>41334</c:v>
                </c:pt>
                <c:pt idx="1">
                  <c:v>41426</c:v>
                </c:pt>
                <c:pt idx="2">
                  <c:v>41518</c:v>
                </c:pt>
                <c:pt idx="3">
                  <c:v>41609</c:v>
                </c:pt>
                <c:pt idx="4">
                  <c:v>41699</c:v>
                </c:pt>
                <c:pt idx="5">
                  <c:v>41791</c:v>
                </c:pt>
                <c:pt idx="6">
                  <c:v>41883</c:v>
                </c:pt>
                <c:pt idx="7">
                  <c:v>41974</c:v>
                </c:pt>
                <c:pt idx="8">
                  <c:v>42064</c:v>
                </c:pt>
                <c:pt idx="9">
                  <c:v>42156</c:v>
                </c:pt>
                <c:pt idx="10">
                  <c:v>42248</c:v>
                </c:pt>
                <c:pt idx="11">
                  <c:v>42339</c:v>
                </c:pt>
              </c:numCache>
            </c:numRef>
          </c:cat>
          <c:val>
            <c:numRef>
              <c:f>'Aralık 2015'!$E$89:$E$100</c:f>
              <c:numCache>
                <c:formatCode>#,##0.0</c:formatCode>
                <c:ptCount val="12"/>
                <c:pt idx="0">
                  <c:v>16.211555555555556</c:v>
                </c:pt>
                <c:pt idx="1">
                  <c:v>16.887218045112782</c:v>
                </c:pt>
                <c:pt idx="2">
                  <c:v>16.705231816248407</c:v>
                </c:pt>
                <c:pt idx="3">
                  <c:v>14.555913113435238</c:v>
                </c:pt>
                <c:pt idx="4">
                  <c:v>13.255226824457594</c:v>
                </c:pt>
                <c:pt idx="5">
                  <c:v>12.64986428848391</c:v>
                </c:pt>
                <c:pt idx="6">
                  <c:v>12.226014410314752</c:v>
                </c:pt>
                <c:pt idx="7">
                  <c:v>12.532557293561295</c:v>
                </c:pt>
                <c:pt idx="8">
                  <c:v>12.739489759252605</c:v>
                </c:pt>
                <c:pt idx="9">
                  <c:v>12.221538461538461</c:v>
                </c:pt>
                <c:pt idx="10">
                  <c:v>11.312441741159745</c:v>
                </c:pt>
                <c:pt idx="11">
                  <c:v>10.79967621129418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252928"/>
        <c:axId val="234254720"/>
      </c:lineChart>
      <c:catAx>
        <c:axId val="217979904"/>
        <c:scaling>
          <c:orientation val="minMax"/>
        </c:scaling>
        <c:delete val="0"/>
        <c:axPos val="b"/>
        <c:numFmt formatCode="mmm\-yy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342510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34251008"/>
        <c:scaling>
          <c:orientation val="minMax"/>
          <c:max val="20000"/>
          <c:min val="100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/>
                  <a:t>Milyon TL</a:t>
                </a:r>
              </a:p>
            </c:rich>
          </c:tx>
          <c:layout>
            <c:manualLayout>
              <c:xMode val="edge"/>
              <c:yMode val="edge"/>
              <c:x val="4.1121495327102804E-2"/>
              <c:y val="1.5576323987538941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17979904"/>
        <c:crosses val="autoZero"/>
        <c:crossBetween val="between"/>
      </c:valAx>
      <c:catAx>
        <c:axId val="23425292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34254720"/>
        <c:crosses val="autoZero"/>
        <c:auto val="0"/>
        <c:lblAlgn val="ctr"/>
        <c:lblOffset val="100"/>
        <c:noMultiLvlLbl val="0"/>
      </c:catAx>
      <c:valAx>
        <c:axId val="234254720"/>
        <c:scaling>
          <c:orientation val="minMax"/>
          <c:min val="1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/>
                  <a:t>yüzde</a:t>
                </a:r>
              </a:p>
            </c:rich>
          </c:tx>
          <c:layout>
            <c:manualLayout>
              <c:xMode val="edge"/>
              <c:yMode val="edge"/>
              <c:x val="0.91215031765889076"/>
              <c:y val="1.5576323987538941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34252928"/>
        <c:crosses val="max"/>
        <c:crossBetween val="between"/>
        <c:majorUnit val="2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9003141429751188"/>
          <c:w val="0.95132468125278802"/>
          <c:h val="6.2305623012076761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Sheet4!$B$3</c:f>
              <c:strCache>
                <c:ptCount val="1"/>
                <c:pt idx="0">
                  <c:v>Bankalar Hariç BİST</c:v>
                </c:pt>
              </c:strCache>
            </c:strRef>
          </c:tx>
          <c:spPr>
            <a:solidFill>
              <a:srgbClr val="0000CC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Sheet4!$A$4:$A$7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 </c:v>
                </c:pt>
              </c:strCache>
            </c:strRef>
          </c:cat>
          <c:val>
            <c:numRef>
              <c:f>Sheet4!$B$4:$B$7</c:f>
              <c:numCache>
                <c:formatCode>0.00</c:formatCode>
                <c:ptCount val="4"/>
                <c:pt idx="0">
                  <c:v>1.8688789726071258</c:v>
                </c:pt>
                <c:pt idx="1">
                  <c:v>1.6154343825962103</c:v>
                </c:pt>
                <c:pt idx="2">
                  <c:v>1.7938570274629804</c:v>
                </c:pt>
                <c:pt idx="3">
                  <c:v>1.5601893617431766</c:v>
                </c:pt>
              </c:numCache>
            </c:numRef>
          </c:val>
        </c:ser>
        <c:ser>
          <c:idx val="1"/>
          <c:order val="1"/>
          <c:tx>
            <c:strRef>
              <c:f>Sheet4!$C$3</c:f>
              <c:strCache>
                <c:ptCount val="1"/>
                <c:pt idx="0">
                  <c:v>Bankalar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Sheet4!$A$4:$A$7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 </c:v>
                </c:pt>
              </c:strCache>
            </c:strRef>
          </c:cat>
          <c:val>
            <c:numRef>
              <c:f>Sheet4!$C$4:$C$7</c:f>
              <c:numCache>
                <c:formatCode>0.00</c:formatCode>
                <c:ptCount val="4"/>
                <c:pt idx="0">
                  <c:v>1.556088363816063</c:v>
                </c:pt>
                <c:pt idx="1">
                  <c:v>1.0656051851628046</c:v>
                </c:pt>
                <c:pt idx="2">
                  <c:v>1.2095608406496201</c:v>
                </c:pt>
                <c:pt idx="3">
                  <c:v>0.87925337634396372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268544"/>
        <c:axId val="234270080"/>
      </c:barChart>
      <c:catAx>
        <c:axId val="23426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4270080"/>
        <c:crosses val="autoZero"/>
        <c:auto val="1"/>
        <c:lblAlgn val="ctr"/>
        <c:lblOffset val="100"/>
        <c:noMultiLvlLbl val="0"/>
      </c:catAx>
      <c:valAx>
        <c:axId val="234270080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crossAx val="234268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6522D4C7FE56341A02F819AE42E43B0" ma:contentTypeVersion="0" ma:contentTypeDescription="Yeni belge oluşturun." ma:contentTypeScope="" ma:versionID="63ddf5b260d5536c86bc350d09631d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39e51cfaf53027dbdf1b18e67d6b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EE0E-CC99-448B-8216-FD6874971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892A2-4DF7-4398-AE5B-1F1573C50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80A7A-C042-470D-B646-5CE1B81C8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723988-B562-47F7-AA65-80FE057C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İMKB’de İşlem Gören Ticaret Bankaları</vt:lpstr>
    </vt:vector>
  </TitlesOfParts>
  <Company>A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İMKB’de İşlem Gören Ticaret Bankaları</dc:title>
  <dc:creator>gKilinc</dc:creator>
  <cp:lastModifiedBy>Ümit Ünsal</cp:lastModifiedBy>
  <cp:revision>16</cp:revision>
  <cp:lastPrinted>2016-03-16T12:07:00Z</cp:lastPrinted>
  <dcterms:created xsi:type="dcterms:W3CDTF">2015-11-24T07:56:00Z</dcterms:created>
  <dcterms:modified xsi:type="dcterms:W3CDTF">2016-03-18T14:53:00Z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0x01010016522D4C7FE56341A02F819AE42E43B0</vt:lpwstr>
  </property>
</Properties>
</file>