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3C" w:rsidRDefault="0047173C" w:rsidP="00210F12">
      <w:pPr>
        <w:rPr>
          <w:b/>
        </w:rPr>
      </w:pPr>
      <w:r>
        <w:rPr>
          <w:b/>
        </w:rPr>
        <w:t>EK-1</w:t>
      </w:r>
    </w:p>
    <w:p w:rsidR="0047173C" w:rsidRDefault="0047173C" w:rsidP="00D56212">
      <w:pPr>
        <w:rPr>
          <w:b/>
        </w:rPr>
      </w:pPr>
    </w:p>
    <w:p w:rsidR="0047173C" w:rsidRPr="00AE323F" w:rsidRDefault="0047173C" w:rsidP="00210F12">
      <w:pPr>
        <w:jc w:val="center"/>
        <w:rPr>
          <w:b/>
        </w:rPr>
      </w:pPr>
      <w:r w:rsidRPr="00AE323F">
        <w:rPr>
          <w:b/>
        </w:rPr>
        <w:t>……………………….GÜMRÜK VE TİCARET BÖLGE MÜDÜRLÜĞÜNE</w:t>
      </w:r>
    </w:p>
    <w:p w:rsidR="0047173C" w:rsidRPr="00AE323F" w:rsidRDefault="0047173C" w:rsidP="00210F12">
      <w:r w:rsidRPr="00AE323F">
        <w:t>                                     </w:t>
      </w:r>
      <w:r w:rsidRPr="00AE323F">
        <w:tab/>
      </w:r>
      <w:r w:rsidRPr="00AE323F">
        <w:tab/>
      </w:r>
      <w:r w:rsidRPr="00AE323F">
        <w:tab/>
      </w:r>
      <w:r w:rsidRPr="00AE323F">
        <w:tab/>
      </w:r>
      <w:r w:rsidRPr="00AE323F">
        <w:tab/>
      </w:r>
      <w:r w:rsidRPr="00AE323F">
        <w:tab/>
      </w:r>
    </w:p>
    <w:tbl>
      <w:tblPr>
        <w:tblW w:w="9009" w:type="dxa"/>
        <w:jc w:val="center"/>
        <w:tblCellSpacing w:w="1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5" w:type="dxa"/>
          <w:left w:w="15" w:type="dxa"/>
          <w:bottom w:w="15" w:type="dxa"/>
          <w:right w:w="15" w:type="dxa"/>
        </w:tblCellMar>
        <w:tblLook w:val="00A0"/>
      </w:tblPr>
      <w:tblGrid>
        <w:gridCol w:w="3991"/>
        <w:gridCol w:w="5018"/>
      </w:tblGrid>
      <w:tr w:rsidR="0047173C" w:rsidRPr="00AE323F" w:rsidTr="004F0A77">
        <w:trPr>
          <w:trHeight w:val="301"/>
          <w:tblCellSpacing w:w="15" w:type="dxa"/>
          <w:jc w:val="center"/>
        </w:trPr>
        <w:tc>
          <w:tcPr>
            <w:tcW w:w="3946" w:type="dxa"/>
            <w:vAlign w:val="center"/>
          </w:tcPr>
          <w:p w:rsidR="0047173C" w:rsidRPr="00AE323F" w:rsidRDefault="0047173C" w:rsidP="004F0A77"/>
          <w:p w:rsidR="0047173C" w:rsidRPr="00AE323F" w:rsidRDefault="0047173C" w:rsidP="004F0A77">
            <w:r w:rsidRPr="00AE323F">
              <w:t>ADI VE SOYADI/FİRMA UNVANI</w:t>
            </w:r>
          </w:p>
        </w:tc>
        <w:tc>
          <w:tcPr>
            <w:tcW w:w="4973" w:type="dxa"/>
            <w:vAlign w:val="bottom"/>
          </w:tcPr>
          <w:p w:rsidR="0047173C" w:rsidRPr="00AE323F" w:rsidRDefault="0047173C" w:rsidP="004F0A77"/>
          <w:p w:rsidR="0047173C" w:rsidRPr="00AE323F" w:rsidRDefault="0047173C" w:rsidP="004F0A77">
            <w:r w:rsidRPr="00AE323F">
              <w:t>:</w:t>
            </w:r>
          </w:p>
        </w:tc>
      </w:tr>
      <w:tr w:rsidR="0047173C" w:rsidRPr="00AE323F" w:rsidTr="004F0A77">
        <w:trPr>
          <w:trHeight w:val="335"/>
          <w:tblCellSpacing w:w="15" w:type="dxa"/>
          <w:jc w:val="center"/>
        </w:trPr>
        <w:tc>
          <w:tcPr>
            <w:tcW w:w="3946" w:type="dxa"/>
            <w:vAlign w:val="center"/>
          </w:tcPr>
          <w:p w:rsidR="0047173C" w:rsidRPr="00AE323F" w:rsidRDefault="0047173C" w:rsidP="004F0A77"/>
          <w:p w:rsidR="0047173C" w:rsidRPr="00AE323F" w:rsidRDefault="0047173C" w:rsidP="004F0A77">
            <w:r w:rsidRPr="00AE323F">
              <w:t>T.C. KİMLİK NO.SU/VERGİ NO.SU</w:t>
            </w:r>
          </w:p>
        </w:tc>
        <w:tc>
          <w:tcPr>
            <w:tcW w:w="4973" w:type="dxa"/>
            <w:vAlign w:val="bottom"/>
          </w:tcPr>
          <w:p w:rsidR="0047173C" w:rsidRPr="00AE323F" w:rsidRDefault="0047173C" w:rsidP="004F0A77">
            <w:r w:rsidRPr="00AE323F">
              <w:t>:</w:t>
            </w:r>
          </w:p>
        </w:tc>
      </w:tr>
      <w:tr w:rsidR="0047173C" w:rsidRPr="00AE323F" w:rsidTr="004F0A77">
        <w:trPr>
          <w:trHeight w:val="341"/>
          <w:tblCellSpacing w:w="15" w:type="dxa"/>
          <w:jc w:val="center"/>
        </w:trPr>
        <w:tc>
          <w:tcPr>
            <w:tcW w:w="3946" w:type="dxa"/>
            <w:vAlign w:val="center"/>
          </w:tcPr>
          <w:p w:rsidR="0047173C" w:rsidRPr="00AE323F" w:rsidRDefault="0047173C" w:rsidP="004F0A77"/>
          <w:p w:rsidR="0047173C" w:rsidRPr="00AE323F" w:rsidRDefault="0047173C" w:rsidP="004F0A77">
            <w:r w:rsidRPr="00AE323F">
              <w:t>AÇIK ADRESİ</w:t>
            </w:r>
          </w:p>
        </w:tc>
        <w:tc>
          <w:tcPr>
            <w:tcW w:w="4973" w:type="dxa"/>
            <w:vAlign w:val="bottom"/>
          </w:tcPr>
          <w:p w:rsidR="0047173C" w:rsidRPr="00AE323F" w:rsidRDefault="0047173C" w:rsidP="004F0A77">
            <w:r w:rsidRPr="00AE323F">
              <w:t>:</w:t>
            </w:r>
          </w:p>
        </w:tc>
      </w:tr>
      <w:tr w:rsidR="0047173C" w:rsidRPr="00AE323F" w:rsidTr="004F0A77">
        <w:trPr>
          <w:trHeight w:val="333"/>
          <w:tblCellSpacing w:w="15" w:type="dxa"/>
          <w:jc w:val="center"/>
        </w:trPr>
        <w:tc>
          <w:tcPr>
            <w:tcW w:w="3946" w:type="dxa"/>
            <w:vAlign w:val="center"/>
          </w:tcPr>
          <w:p w:rsidR="0047173C" w:rsidRPr="00AE323F" w:rsidRDefault="0047173C" w:rsidP="004F0A77"/>
          <w:p w:rsidR="0047173C" w:rsidRPr="00AE323F" w:rsidRDefault="0047173C" w:rsidP="004F0A77">
            <w:r w:rsidRPr="00AE323F">
              <w:t xml:space="preserve"> İŞ TELEFON VE FAKS NO.</w:t>
            </w:r>
          </w:p>
        </w:tc>
        <w:tc>
          <w:tcPr>
            <w:tcW w:w="4973" w:type="dxa"/>
            <w:vAlign w:val="bottom"/>
          </w:tcPr>
          <w:p w:rsidR="0047173C" w:rsidRPr="00AE323F" w:rsidRDefault="0047173C" w:rsidP="004F0A77">
            <w:r w:rsidRPr="00AE323F">
              <w:t>:</w:t>
            </w:r>
          </w:p>
        </w:tc>
      </w:tr>
    </w:tbl>
    <w:p w:rsidR="0047173C" w:rsidRPr="00AE323F" w:rsidRDefault="0047173C" w:rsidP="00210F12">
      <w:pPr>
        <w:jc w:val="center"/>
      </w:pPr>
      <w:r w:rsidRPr="00AE323F">
        <w:t> </w:t>
      </w:r>
    </w:p>
    <w:p w:rsidR="0047173C" w:rsidRPr="00AE323F" w:rsidRDefault="0047173C" w:rsidP="00210F12">
      <w:pPr>
        <w:jc w:val="both"/>
      </w:pPr>
      <w:r w:rsidRPr="00AE323F">
        <w:t xml:space="preserve">Gümrük kıymetine ilave edilmesi gereken, ancak bir örneği ekli royalti/lisans sözleşmesi uyarınca söz konusu kıymet unsurları </w:t>
      </w:r>
      <w:r>
        <w:t>ithal anında belli olmayan</w:t>
      </w:r>
      <w:r w:rsidRPr="00AE323F">
        <w:t xml:space="preserve"> aşağıda bilgileri yer alan eşyanın gümrük kıymetinin tespitinde </w:t>
      </w:r>
      <w:r>
        <w:t>Gümrük Genel Tebliği (Gümrük Kıymeti) (Seri No:2) 11 nci m</w:t>
      </w:r>
      <w:r w:rsidRPr="00255294">
        <w:t>addesinin</w:t>
      </w:r>
      <w:r w:rsidRPr="00D56212">
        <w:rPr>
          <w:color w:val="FF0000"/>
        </w:rPr>
        <w:t xml:space="preserve"> </w:t>
      </w:r>
      <w:r w:rsidRPr="00F77612">
        <w:t>3 üncü ve 4 üncü fıkralarının</w:t>
      </w:r>
      <w:r>
        <w:t xml:space="preserve"> </w:t>
      </w:r>
      <w:r w:rsidRPr="00AE323F">
        <w:t>uygulanmasın</w:t>
      </w:r>
      <w:r>
        <w:t>a izin verilmesini</w:t>
      </w:r>
      <w:r w:rsidRPr="00AE323F">
        <w:t xml:space="preserve"> talep ederiz.</w:t>
      </w:r>
    </w:p>
    <w:p w:rsidR="0047173C" w:rsidRPr="00AE323F" w:rsidRDefault="0047173C" w:rsidP="00210F12"/>
    <w:p w:rsidR="0047173C" w:rsidRPr="00AE323F" w:rsidRDefault="0047173C" w:rsidP="00210F12">
      <w:r w:rsidRPr="00AE323F">
        <w:t>Tarih: …/…/…..</w:t>
      </w:r>
    </w:p>
    <w:p w:rsidR="0047173C" w:rsidRPr="00AE323F" w:rsidRDefault="0047173C" w:rsidP="00210F12"/>
    <w:p w:rsidR="0047173C" w:rsidRPr="00AE323F" w:rsidRDefault="0047173C" w:rsidP="00210F12">
      <w:r w:rsidRPr="00AE323F">
        <w:t>…………………</w:t>
      </w:r>
    </w:p>
    <w:p w:rsidR="0047173C" w:rsidRPr="00AE323F" w:rsidRDefault="0047173C" w:rsidP="00210F12">
      <w:r w:rsidRPr="00AE323F">
        <w:t xml:space="preserve">      İMZA</w:t>
      </w:r>
    </w:p>
    <w:p w:rsidR="0047173C" w:rsidRDefault="0047173C" w:rsidP="00210F12">
      <w:pPr>
        <w:ind w:firstLine="709"/>
        <w:jc w:val="both"/>
      </w:pPr>
    </w:p>
    <w:p w:rsidR="0047173C" w:rsidRPr="00AE323F" w:rsidRDefault="0047173C" w:rsidP="00210F12">
      <w:pPr>
        <w:ind w:firstLine="709"/>
        <w:jc w:val="both"/>
      </w:pPr>
    </w:p>
    <w:tbl>
      <w:tblPr>
        <w:tblpPr w:leftFromText="141" w:rightFromText="141" w:vertAnchor="text" w:tblpXSpec="center" w:tblpY="1"/>
        <w:tblOverlap w:val="never"/>
        <w:tblW w:w="9309" w:type="dxa"/>
        <w:tblCellSpacing w:w="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0" w:type="dxa"/>
          <w:right w:w="70" w:type="dxa"/>
        </w:tblCellMar>
        <w:tblLook w:val="00A0"/>
      </w:tblPr>
      <w:tblGrid>
        <w:gridCol w:w="4250"/>
        <w:gridCol w:w="5059"/>
      </w:tblGrid>
      <w:tr w:rsidR="0047173C" w:rsidRPr="00AE323F" w:rsidTr="004F0A77">
        <w:trPr>
          <w:trHeight w:val="154"/>
          <w:tblCellSpacing w:w="20" w:type="dxa"/>
        </w:trPr>
        <w:tc>
          <w:tcPr>
            <w:tcW w:w="9229" w:type="dxa"/>
            <w:gridSpan w:val="2"/>
            <w:vAlign w:val="center"/>
          </w:tcPr>
          <w:p w:rsidR="0047173C" w:rsidRPr="00AE323F" w:rsidRDefault="0047173C" w:rsidP="004F0A77">
            <w:pPr>
              <w:jc w:val="center"/>
            </w:pPr>
            <w:r>
              <w:t>YAPILACAK İTHALATLARA İLİŞKİN BİLGİLER</w:t>
            </w:r>
          </w:p>
        </w:tc>
      </w:tr>
      <w:tr w:rsidR="0047173C" w:rsidRPr="00AE323F" w:rsidTr="004F0A77">
        <w:trPr>
          <w:trHeight w:val="276"/>
          <w:tblCellSpacing w:w="20" w:type="dxa"/>
        </w:trPr>
        <w:tc>
          <w:tcPr>
            <w:tcW w:w="4190" w:type="dxa"/>
            <w:vAlign w:val="center"/>
          </w:tcPr>
          <w:p w:rsidR="0047173C" w:rsidRPr="00AE323F" w:rsidRDefault="0047173C" w:rsidP="004F0A77">
            <w:r w:rsidRPr="00AE323F">
              <w:t>Gönderici Firma(lar):</w:t>
            </w:r>
          </w:p>
        </w:tc>
        <w:tc>
          <w:tcPr>
            <w:tcW w:w="4999" w:type="dxa"/>
            <w:vAlign w:val="center"/>
          </w:tcPr>
          <w:p w:rsidR="0047173C" w:rsidRPr="00AE323F" w:rsidRDefault="0047173C" w:rsidP="004F0A77">
            <w:r w:rsidRPr="00AE323F">
              <w:t>1.</w:t>
            </w:r>
          </w:p>
          <w:p w:rsidR="0047173C" w:rsidRPr="00AE323F" w:rsidRDefault="0047173C" w:rsidP="004F0A77">
            <w:r w:rsidRPr="00AE323F">
              <w:t>2.</w:t>
            </w:r>
          </w:p>
          <w:p w:rsidR="0047173C" w:rsidRPr="00AE323F" w:rsidRDefault="0047173C" w:rsidP="004F0A77">
            <w:r w:rsidRPr="00AE323F">
              <w:t>…</w:t>
            </w:r>
          </w:p>
        </w:tc>
      </w:tr>
      <w:tr w:rsidR="0047173C" w:rsidRPr="00AE323F" w:rsidTr="004F0A77">
        <w:trPr>
          <w:trHeight w:val="276"/>
          <w:tblCellSpacing w:w="20" w:type="dxa"/>
        </w:trPr>
        <w:tc>
          <w:tcPr>
            <w:tcW w:w="4190" w:type="dxa"/>
            <w:vAlign w:val="center"/>
          </w:tcPr>
          <w:p w:rsidR="0047173C" w:rsidRPr="00AE323F" w:rsidRDefault="0047173C" w:rsidP="004F0A77">
            <w:r>
              <w:t xml:space="preserve">Royalti/Lisans Hesaplama </w:t>
            </w:r>
            <w:r w:rsidRPr="00AE323F">
              <w:t>Dönemi:</w:t>
            </w:r>
          </w:p>
        </w:tc>
        <w:tc>
          <w:tcPr>
            <w:tcW w:w="4999" w:type="dxa"/>
            <w:vAlign w:val="center"/>
          </w:tcPr>
          <w:p w:rsidR="0047173C" w:rsidRPr="00AE323F" w:rsidRDefault="0047173C" w:rsidP="004F0A77"/>
        </w:tc>
      </w:tr>
      <w:tr w:rsidR="0047173C" w:rsidRPr="00AE323F" w:rsidTr="004F0A77">
        <w:trPr>
          <w:trHeight w:val="276"/>
          <w:tblCellSpacing w:w="20" w:type="dxa"/>
        </w:trPr>
        <w:tc>
          <w:tcPr>
            <w:tcW w:w="4190" w:type="dxa"/>
            <w:vAlign w:val="center"/>
          </w:tcPr>
          <w:p w:rsidR="0047173C" w:rsidRDefault="0047173C" w:rsidP="004F0A77">
            <w:r w:rsidRPr="00AE323F">
              <w:t xml:space="preserve">Royalti/Lisans Ücretinin Hesaplama </w:t>
            </w:r>
            <w:r>
              <w:t>Usulü:</w:t>
            </w:r>
          </w:p>
          <w:p w:rsidR="0047173C" w:rsidRPr="00837135" w:rsidRDefault="0047173C" w:rsidP="004F0A77">
            <w:pPr>
              <w:rPr>
                <w:sz w:val="20"/>
                <w:szCs w:val="20"/>
              </w:rPr>
            </w:pPr>
            <w:r w:rsidRPr="00837135">
              <w:rPr>
                <w:sz w:val="20"/>
                <w:szCs w:val="20"/>
              </w:rPr>
              <w:t>(Sözleşmenin il</w:t>
            </w:r>
            <w:r>
              <w:rPr>
                <w:sz w:val="20"/>
                <w:szCs w:val="20"/>
              </w:rPr>
              <w:t>gili maddesi de belirtilecektir.)</w:t>
            </w:r>
          </w:p>
        </w:tc>
        <w:tc>
          <w:tcPr>
            <w:tcW w:w="4999" w:type="dxa"/>
            <w:vAlign w:val="center"/>
          </w:tcPr>
          <w:p w:rsidR="0047173C" w:rsidRPr="00AE323F" w:rsidRDefault="0047173C" w:rsidP="004F0A77"/>
          <w:p w:rsidR="0047173C" w:rsidRPr="00AE323F" w:rsidRDefault="0047173C" w:rsidP="004F0A77"/>
          <w:p w:rsidR="0047173C" w:rsidRPr="00AE323F" w:rsidRDefault="0047173C" w:rsidP="004F0A77"/>
          <w:p w:rsidR="0047173C" w:rsidRPr="00AE323F" w:rsidRDefault="0047173C" w:rsidP="004F0A77"/>
        </w:tc>
      </w:tr>
      <w:tr w:rsidR="0047173C" w:rsidRPr="00AE323F" w:rsidTr="004F0A77">
        <w:trPr>
          <w:trHeight w:val="176"/>
          <w:tblCellSpacing w:w="20" w:type="dxa"/>
        </w:trPr>
        <w:tc>
          <w:tcPr>
            <w:tcW w:w="4190" w:type="dxa"/>
            <w:vAlign w:val="center"/>
          </w:tcPr>
          <w:p w:rsidR="0047173C" w:rsidRPr="00AE323F" w:rsidRDefault="0047173C" w:rsidP="004F0A77">
            <w:r w:rsidRPr="00AE323F">
              <w:t>İt</w:t>
            </w:r>
            <w:r>
              <w:t>halat Yapılacak Gümrük Müdürlükleri</w:t>
            </w:r>
            <w:r w:rsidRPr="00AE323F">
              <w:t xml:space="preserve"> </w:t>
            </w:r>
          </w:p>
        </w:tc>
        <w:tc>
          <w:tcPr>
            <w:tcW w:w="4999" w:type="dxa"/>
            <w:vAlign w:val="center"/>
          </w:tcPr>
          <w:p w:rsidR="0047173C" w:rsidRPr="00AE323F" w:rsidRDefault="0047173C" w:rsidP="004F0A77">
            <w:r w:rsidRPr="00AE323F">
              <w:t>İthal Edilecek Eşyalar (G.T.İ.P.)</w:t>
            </w:r>
          </w:p>
        </w:tc>
      </w:tr>
      <w:tr w:rsidR="0047173C" w:rsidRPr="00AE323F" w:rsidTr="004F0A77">
        <w:trPr>
          <w:trHeight w:val="176"/>
          <w:tblCellSpacing w:w="20" w:type="dxa"/>
        </w:trPr>
        <w:tc>
          <w:tcPr>
            <w:tcW w:w="4190" w:type="dxa"/>
            <w:vAlign w:val="center"/>
          </w:tcPr>
          <w:p w:rsidR="0047173C" w:rsidRPr="00AE323F" w:rsidRDefault="0047173C" w:rsidP="004F0A77">
            <w:r w:rsidRPr="00AE323F">
              <w:t>1.</w:t>
            </w:r>
          </w:p>
        </w:tc>
        <w:tc>
          <w:tcPr>
            <w:tcW w:w="4999" w:type="dxa"/>
            <w:vAlign w:val="center"/>
          </w:tcPr>
          <w:p w:rsidR="0047173C" w:rsidRPr="00AE323F" w:rsidRDefault="0047173C" w:rsidP="004F0A77">
            <w:r w:rsidRPr="00AE323F">
              <w:t>1.</w:t>
            </w:r>
          </w:p>
        </w:tc>
      </w:tr>
      <w:tr w:rsidR="0047173C" w:rsidRPr="00AE323F" w:rsidTr="004F0A77">
        <w:trPr>
          <w:trHeight w:val="176"/>
          <w:tblCellSpacing w:w="20" w:type="dxa"/>
        </w:trPr>
        <w:tc>
          <w:tcPr>
            <w:tcW w:w="4190" w:type="dxa"/>
            <w:vAlign w:val="center"/>
          </w:tcPr>
          <w:p w:rsidR="0047173C" w:rsidRPr="00AE323F" w:rsidRDefault="0047173C" w:rsidP="004F0A77">
            <w:r w:rsidRPr="00AE323F">
              <w:t>2.</w:t>
            </w:r>
          </w:p>
        </w:tc>
        <w:tc>
          <w:tcPr>
            <w:tcW w:w="4999" w:type="dxa"/>
            <w:vAlign w:val="center"/>
          </w:tcPr>
          <w:p w:rsidR="0047173C" w:rsidRPr="00AE323F" w:rsidRDefault="0047173C" w:rsidP="004F0A77">
            <w:r w:rsidRPr="00AE323F">
              <w:t>2.</w:t>
            </w:r>
          </w:p>
        </w:tc>
      </w:tr>
      <w:tr w:rsidR="0047173C" w:rsidRPr="00AE323F" w:rsidTr="004F0A77">
        <w:trPr>
          <w:trHeight w:val="176"/>
          <w:tblCellSpacing w:w="20" w:type="dxa"/>
        </w:trPr>
        <w:tc>
          <w:tcPr>
            <w:tcW w:w="4190" w:type="dxa"/>
            <w:vAlign w:val="center"/>
          </w:tcPr>
          <w:p w:rsidR="0047173C" w:rsidRPr="00AE323F" w:rsidRDefault="0047173C" w:rsidP="004F0A77">
            <w:r w:rsidRPr="00AE323F">
              <w:t>3.</w:t>
            </w:r>
          </w:p>
        </w:tc>
        <w:tc>
          <w:tcPr>
            <w:tcW w:w="4999" w:type="dxa"/>
            <w:vAlign w:val="center"/>
          </w:tcPr>
          <w:p w:rsidR="0047173C" w:rsidRPr="00AE323F" w:rsidRDefault="0047173C" w:rsidP="004F0A77">
            <w:r w:rsidRPr="00AE323F">
              <w:t>3.</w:t>
            </w:r>
          </w:p>
        </w:tc>
      </w:tr>
      <w:tr w:rsidR="0047173C" w:rsidRPr="00AE323F" w:rsidTr="004F0A77">
        <w:trPr>
          <w:trHeight w:val="176"/>
          <w:tblCellSpacing w:w="20" w:type="dxa"/>
        </w:trPr>
        <w:tc>
          <w:tcPr>
            <w:tcW w:w="4190" w:type="dxa"/>
            <w:vAlign w:val="center"/>
          </w:tcPr>
          <w:p w:rsidR="0047173C" w:rsidRPr="00AE323F" w:rsidRDefault="0047173C" w:rsidP="004F0A77">
            <w:r w:rsidRPr="00AE323F">
              <w:t>4.</w:t>
            </w:r>
          </w:p>
        </w:tc>
        <w:tc>
          <w:tcPr>
            <w:tcW w:w="4999" w:type="dxa"/>
            <w:vAlign w:val="center"/>
          </w:tcPr>
          <w:p w:rsidR="0047173C" w:rsidRPr="00AE323F" w:rsidRDefault="0047173C" w:rsidP="004F0A77">
            <w:r w:rsidRPr="00AE323F">
              <w:t>4.</w:t>
            </w:r>
          </w:p>
        </w:tc>
      </w:tr>
      <w:tr w:rsidR="0047173C" w:rsidRPr="00AE323F" w:rsidTr="004F0A77">
        <w:trPr>
          <w:trHeight w:val="176"/>
          <w:tblCellSpacing w:w="20" w:type="dxa"/>
        </w:trPr>
        <w:tc>
          <w:tcPr>
            <w:tcW w:w="4190" w:type="dxa"/>
            <w:vAlign w:val="center"/>
          </w:tcPr>
          <w:p w:rsidR="0047173C" w:rsidRPr="00AE323F" w:rsidRDefault="0047173C" w:rsidP="004F0A77">
            <w:r w:rsidRPr="00AE323F">
              <w:t>5.</w:t>
            </w:r>
          </w:p>
        </w:tc>
        <w:tc>
          <w:tcPr>
            <w:tcW w:w="4999" w:type="dxa"/>
            <w:vAlign w:val="center"/>
          </w:tcPr>
          <w:p w:rsidR="0047173C" w:rsidRPr="00AE323F" w:rsidRDefault="0047173C" w:rsidP="004F0A77">
            <w:r w:rsidRPr="00AE323F">
              <w:t>5.</w:t>
            </w:r>
          </w:p>
        </w:tc>
      </w:tr>
      <w:tr w:rsidR="0047173C" w:rsidRPr="00AE323F" w:rsidTr="004F0A77">
        <w:trPr>
          <w:trHeight w:val="176"/>
          <w:tblCellSpacing w:w="20" w:type="dxa"/>
        </w:trPr>
        <w:tc>
          <w:tcPr>
            <w:tcW w:w="4190" w:type="dxa"/>
            <w:vAlign w:val="center"/>
          </w:tcPr>
          <w:p w:rsidR="0047173C" w:rsidRPr="00AE323F" w:rsidRDefault="0047173C" w:rsidP="004F0A77">
            <w:r w:rsidRPr="00AE323F">
              <w:t>…</w:t>
            </w:r>
          </w:p>
        </w:tc>
        <w:tc>
          <w:tcPr>
            <w:tcW w:w="4999" w:type="dxa"/>
            <w:vAlign w:val="center"/>
          </w:tcPr>
          <w:p w:rsidR="0047173C" w:rsidRPr="00AE323F" w:rsidRDefault="0047173C" w:rsidP="004F0A77">
            <w:r w:rsidRPr="00AE323F">
              <w:t>…</w:t>
            </w:r>
          </w:p>
        </w:tc>
      </w:tr>
    </w:tbl>
    <w:p w:rsidR="0047173C" w:rsidRDefault="0047173C" w:rsidP="00210F12"/>
    <w:p w:rsidR="0047173C" w:rsidRDefault="0047173C" w:rsidP="00210F12"/>
    <w:p w:rsidR="0047173C" w:rsidRDefault="0047173C" w:rsidP="00210F12">
      <w:r>
        <w:t>EKLER:</w:t>
      </w:r>
    </w:p>
    <w:p w:rsidR="0047173C" w:rsidRDefault="0047173C" w:rsidP="00210F12">
      <w:r>
        <w:t>1)Royalti/Lisans Sözleşmesi aslı veya onaylı sureti</w:t>
      </w:r>
    </w:p>
    <w:p w:rsidR="0047173C" w:rsidRDefault="0047173C" w:rsidP="00210F12">
      <w:r>
        <w:t>2)</w:t>
      </w:r>
      <w:r w:rsidRPr="00BE3166">
        <w:t xml:space="preserve"> </w:t>
      </w:r>
      <w:r>
        <w:t>Royalti/Lisans Sözleşmesi onaylı çevirisi</w:t>
      </w:r>
    </w:p>
    <w:p w:rsidR="0047173C" w:rsidRDefault="0047173C" w:rsidP="00210F12">
      <w:r w:rsidRPr="00BE3166">
        <w:t>3) …</w:t>
      </w:r>
    </w:p>
    <w:p w:rsidR="0047173C" w:rsidRDefault="0047173C" w:rsidP="00210F12"/>
    <w:p w:rsidR="0047173C" w:rsidRDefault="0047173C" w:rsidP="00210F12"/>
    <w:p w:rsidR="0047173C" w:rsidRDefault="0047173C" w:rsidP="00210F12"/>
    <w:p w:rsidR="0047173C" w:rsidRPr="005176D4" w:rsidRDefault="0047173C" w:rsidP="00210F12"/>
    <w:p w:rsidR="0047173C" w:rsidRPr="00AE323F" w:rsidRDefault="0047173C" w:rsidP="00210F12">
      <w:pPr>
        <w:rPr>
          <w:b/>
        </w:rPr>
      </w:pPr>
      <w:r w:rsidRPr="00AE323F">
        <w:rPr>
          <w:b/>
        </w:rPr>
        <w:t>EK-2</w:t>
      </w:r>
    </w:p>
    <w:p w:rsidR="0047173C" w:rsidRPr="00AE323F" w:rsidRDefault="0047173C" w:rsidP="00210F12">
      <w:pPr>
        <w:jc w:val="center"/>
        <w:rPr>
          <w:b/>
        </w:rPr>
      </w:pPr>
      <w:r w:rsidRPr="00AE323F">
        <w:rPr>
          <w:b/>
        </w:rPr>
        <w:t>…</w:t>
      </w:r>
      <w:r>
        <w:rPr>
          <w:b/>
        </w:rPr>
        <w:t>…………………….GÜMRÜK</w:t>
      </w:r>
      <w:r w:rsidRPr="00AE323F">
        <w:rPr>
          <w:b/>
        </w:rPr>
        <w:t xml:space="preserve"> MÜDÜRLÜĞÜNE</w:t>
      </w:r>
    </w:p>
    <w:p w:rsidR="0047173C" w:rsidRPr="00AE323F" w:rsidRDefault="0047173C" w:rsidP="00210F12">
      <w:r w:rsidRPr="00AE323F">
        <w:t>                                     </w:t>
      </w:r>
      <w:r w:rsidRPr="00AE323F">
        <w:tab/>
      </w:r>
      <w:r w:rsidRPr="00AE323F">
        <w:tab/>
      </w:r>
      <w:r w:rsidRPr="00AE323F">
        <w:tab/>
      </w:r>
      <w:r w:rsidRPr="00AE323F">
        <w:tab/>
      </w:r>
      <w:r w:rsidRPr="00AE323F">
        <w:tab/>
      </w:r>
      <w:r w:rsidRPr="00AE323F">
        <w:tab/>
      </w:r>
    </w:p>
    <w:p w:rsidR="0047173C" w:rsidRPr="00AE323F" w:rsidRDefault="0047173C" w:rsidP="00210F12"/>
    <w:tbl>
      <w:tblPr>
        <w:tblW w:w="9009" w:type="dxa"/>
        <w:jc w:val="center"/>
        <w:tblCellSpacing w:w="1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5" w:type="dxa"/>
          <w:left w:w="15" w:type="dxa"/>
          <w:bottom w:w="15" w:type="dxa"/>
          <w:right w:w="15" w:type="dxa"/>
        </w:tblCellMar>
        <w:tblLook w:val="00A0"/>
      </w:tblPr>
      <w:tblGrid>
        <w:gridCol w:w="3991"/>
        <w:gridCol w:w="5018"/>
      </w:tblGrid>
      <w:tr w:rsidR="0047173C" w:rsidRPr="00AE323F" w:rsidTr="004F0A77">
        <w:trPr>
          <w:trHeight w:val="301"/>
          <w:tblCellSpacing w:w="15" w:type="dxa"/>
          <w:jc w:val="center"/>
        </w:trPr>
        <w:tc>
          <w:tcPr>
            <w:tcW w:w="3946" w:type="dxa"/>
            <w:vAlign w:val="center"/>
          </w:tcPr>
          <w:p w:rsidR="0047173C" w:rsidRPr="00AE323F" w:rsidRDefault="0047173C" w:rsidP="004F0A77"/>
          <w:p w:rsidR="0047173C" w:rsidRPr="00AE323F" w:rsidRDefault="0047173C" w:rsidP="004F0A77">
            <w:r w:rsidRPr="00AE323F">
              <w:t>ADI VE SOYADI/FİRMA UNVANI</w:t>
            </w:r>
          </w:p>
        </w:tc>
        <w:tc>
          <w:tcPr>
            <w:tcW w:w="4973" w:type="dxa"/>
            <w:vAlign w:val="bottom"/>
          </w:tcPr>
          <w:p w:rsidR="0047173C" w:rsidRPr="00AE323F" w:rsidRDefault="0047173C" w:rsidP="004F0A77"/>
          <w:p w:rsidR="0047173C" w:rsidRPr="00AE323F" w:rsidRDefault="0047173C" w:rsidP="004F0A77">
            <w:r w:rsidRPr="00AE323F">
              <w:t>:</w:t>
            </w:r>
          </w:p>
        </w:tc>
      </w:tr>
      <w:tr w:rsidR="0047173C" w:rsidRPr="00AE323F" w:rsidTr="004F0A77">
        <w:trPr>
          <w:trHeight w:val="335"/>
          <w:tblCellSpacing w:w="15" w:type="dxa"/>
          <w:jc w:val="center"/>
        </w:trPr>
        <w:tc>
          <w:tcPr>
            <w:tcW w:w="3946" w:type="dxa"/>
            <w:vAlign w:val="center"/>
          </w:tcPr>
          <w:p w:rsidR="0047173C" w:rsidRPr="00AE323F" w:rsidRDefault="0047173C" w:rsidP="004F0A77"/>
          <w:p w:rsidR="0047173C" w:rsidRPr="00AE323F" w:rsidRDefault="0047173C" w:rsidP="004F0A77">
            <w:r w:rsidRPr="00AE323F">
              <w:t>T.C. KİMLİK NO.SU/VERGİ NO.SU</w:t>
            </w:r>
          </w:p>
        </w:tc>
        <w:tc>
          <w:tcPr>
            <w:tcW w:w="4973" w:type="dxa"/>
            <w:vAlign w:val="bottom"/>
          </w:tcPr>
          <w:p w:rsidR="0047173C" w:rsidRPr="00AE323F" w:rsidRDefault="0047173C" w:rsidP="004F0A77">
            <w:r w:rsidRPr="00AE323F">
              <w:t>:</w:t>
            </w:r>
          </w:p>
        </w:tc>
      </w:tr>
      <w:tr w:rsidR="0047173C" w:rsidRPr="00AE323F" w:rsidTr="004F0A77">
        <w:trPr>
          <w:trHeight w:val="341"/>
          <w:tblCellSpacing w:w="15" w:type="dxa"/>
          <w:jc w:val="center"/>
        </w:trPr>
        <w:tc>
          <w:tcPr>
            <w:tcW w:w="3946" w:type="dxa"/>
            <w:vAlign w:val="center"/>
          </w:tcPr>
          <w:p w:rsidR="0047173C" w:rsidRPr="00AE323F" w:rsidRDefault="0047173C" w:rsidP="004F0A77"/>
          <w:p w:rsidR="0047173C" w:rsidRPr="00AE323F" w:rsidRDefault="0047173C" w:rsidP="004F0A77">
            <w:r w:rsidRPr="00AE323F">
              <w:t>AÇIK ADRESİ</w:t>
            </w:r>
          </w:p>
        </w:tc>
        <w:tc>
          <w:tcPr>
            <w:tcW w:w="4973" w:type="dxa"/>
            <w:vAlign w:val="bottom"/>
          </w:tcPr>
          <w:p w:rsidR="0047173C" w:rsidRPr="00AE323F" w:rsidRDefault="0047173C" w:rsidP="004F0A77">
            <w:r w:rsidRPr="00AE323F">
              <w:t>:</w:t>
            </w:r>
          </w:p>
        </w:tc>
      </w:tr>
      <w:tr w:rsidR="0047173C" w:rsidRPr="00AE323F" w:rsidTr="004F0A77">
        <w:trPr>
          <w:trHeight w:val="333"/>
          <w:tblCellSpacing w:w="15" w:type="dxa"/>
          <w:jc w:val="center"/>
        </w:trPr>
        <w:tc>
          <w:tcPr>
            <w:tcW w:w="3946" w:type="dxa"/>
            <w:vAlign w:val="center"/>
          </w:tcPr>
          <w:p w:rsidR="0047173C" w:rsidRPr="00AE323F" w:rsidRDefault="0047173C" w:rsidP="004F0A77"/>
          <w:p w:rsidR="0047173C" w:rsidRPr="00AE323F" w:rsidRDefault="0047173C" w:rsidP="004F0A77">
            <w:r w:rsidRPr="00AE323F">
              <w:t xml:space="preserve"> İŞ TELEFON VE FAKS NO.</w:t>
            </w:r>
          </w:p>
        </w:tc>
        <w:tc>
          <w:tcPr>
            <w:tcW w:w="4973" w:type="dxa"/>
            <w:vAlign w:val="bottom"/>
          </w:tcPr>
          <w:p w:rsidR="0047173C" w:rsidRPr="00AE323F" w:rsidRDefault="0047173C" w:rsidP="004F0A77">
            <w:r w:rsidRPr="00AE323F">
              <w:t>:</w:t>
            </w:r>
          </w:p>
        </w:tc>
      </w:tr>
    </w:tbl>
    <w:p w:rsidR="0047173C" w:rsidRPr="00AE323F" w:rsidRDefault="0047173C" w:rsidP="00210F12">
      <w:pPr>
        <w:jc w:val="center"/>
      </w:pPr>
      <w:r w:rsidRPr="00AE323F">
        <w:t> </w:t>
      </w:r>
    </w:p>
    <w:p w:rsidR="0047173C" w:rsidRPr="00AE323F" w:rsidRDefault="0047173C" w:rsidP="00210F12"/>
    <w:p w:rsidR="0047173C" w:rsidRPr="00AE323F" w:rsidRDefault="0047173C" w:rsidP="00210F12">
      <w:pPr>
        <w:jc w:val="both"/>
      </w:pPr>
      <w:r w:rsidRPr="00AE323F">
        <w:t>……………. tarihli istisnai kıymetle beyan talep dilekçemize istinaden gümrük kıymetine ilave edilmesi gereken royalti/lisans ücretlerine ilişkin ekli listede ayrıntıları yer alan tamamlayıcı beyanımız uyarınca işlemlerin yapılmasını arz ederiz.</w:t>
      </w:r>
    </w:p>
    <w:p w:rsidR="0047173C" w:rsidRPr="00AE323F" w:rsidRDefault="0047173C" w:rsidP="00210F12"/>
    <w:p w:rsidR="0047173C" w:rsidRPr="00AE323F" w:rsidRDefault="0047173C" w:rsidP="00210F12"/>
    <w:p w:rsidR="0047173C" w:rsidRPr="00AE323F" w:rsidRDefault="0047173C" w:rsidP="00210F12">
      <w:r w:rsidRPr="00AE323F">
        <w:t>Tarih: …/…/…..</w:t>
      </w:r>
    </w:p>
    <w:p w:rsidR="0047173C" w:rsidRPr="00AE323F" w:rsidRDefault="0047173C" w:rsidP="00210F12"/>
    <w:p w:rsidR="0047173C" w:rsidRPr="00AE323F" w:rsidRDefault="0047173C" w:rsidP="00210F12"/>
    <w:p w:rsidR="0047173C" w:rsidRPr="00AE323F" w:rsidRDefault="0047173C" w:rsidP="00210F12">
      <w:r w:rsidRPr="00AE323F">
        <w:t>…………………</w:t>
      </w:r>
    </w:p>
    <w:p w:rsidR="0047173C" w:rsidRPr="00AE323F" w:rsidRDefault="0047173C" w:rsidP="00210F12">
      <w:r w:rsidRPr="00AE323F">
        <w:t xml:space="preserve">      İMZA</w:t>
      </w:r>
    </w:p>
    <w:p w:rsidR="0047173C" w:rsidRPr="00AE323F" w:rsidRDefault="0047173C" w:rsidP="00210F12">
      <w:pPr>
        <w:ind w:firstLine="709"/>
        <w:jc w:val="both"/>
      </w:pPr>
    </w:p>
    <w:p w:rsidR="0047173C" w:rsidRPr="00AE323F" w:rsidRDefault="0047173C" w:rsidP="00210F12">
      <w:pPr>
        <w:ind w:firstLine="709"/>
        <w:jc w:val="both"/>
      </w:pPr>
    </w:p>
    <w:p w:rsidR="0047173C" w:rsidRPr="00AE323F" w:rsidRDefault="0047173C" w:rsidP="00210F12">
      <w:pPr>
        <w:ind w:firstLine="709"/>
        <w:jc w:val="both"/>
      </w:pPr>
    </w:p>
    <w:p w:rsidR="0047173C" w:rsidRPr="00AE323F" w:rsidRDefault="0047173C" w:rsidP="00210F12">
      <w:pPr>
        <w:ind w:firstLine="709"/>
        <w:jc w:val="both"/>
      </w:pPr>
    </w:p>
    <w:p w:rsidR="0047173C" w:rsidRPr="00AE323F" w:rsidRDefault="0047173C" w:rsidP="00210F12">
      <w:pPr>
        <w:ind w:firstLine="709"/>
        <w:jc w:val="both"/>
      </w:pPr>
    </w:p>
    <w:p w:rsidR="0047173C" w:rsidRPr="00AE323F" w:rsidRDefault="0047173C" w:rsidP="00210F12">
      <w:pPr>
        <w:ind w:firstLine="709"/>
        <w:jc w:val="both"/>
      </w:pPr>
    </w:p>
    <w:p w:rsidR="0047173C" w:rsidRDefault="0047173C" w:rsidP="00210F12">
      <w:pPr>
        <w:jc w:val="both"/>
      </w:pPr>
    </w:p>
    <w:p w:rsidR="0047173C" w:rsidRDefault="0047173C" w:rsidP="00210F12">
      <w:pPr>
        <w:ind w:firstLine="709"/>
        <w:jc w:val="both"/>
      </w:pPr>
    </w:p>
    <w:p w:rsidR="0047173C" w:rsidRDefault="0047173C" w:rsidP="00210F12">
      <w:pPr>
        <w:ind w:firstLine="709"/>
        <w:jc w:val="both"/>
      </w:pPr>
    </w:p>
    <w:p w:rsidR="0047173C" w:rsidRDefault="0047173C" w:rsidP="00210F12">
      <w:pPr>
        <w:ind w:firstLine="709"/>
        <w:jc w:val="both"/>
      </w:pPr>
    </w:p>
    <w:p w:rsidR="0047173C" w:rsidRDefault="0047173C" w:rsidP="00210F12">
      <w:pPr>
        <w:ind w:firstLine="709"/>
        <w:jc w:val="both"/>
      </w:pPr>
    </w:p>
    <w:p w:rsidR="0047173C" w:rsidRDefault="0047173C" w:rsidP="00210F12">
      <w:pPr>
        <w:ind w:firstLine="709"/>
        <w:jc w:val="both"/>
      </w:pPr>
    </w:p>
    <w:p w:rsidR="0047173C" w:rsidRDefault="0047173C" w:rsidP="00210F12">
      <w:pPr>
        <w:ind w:firstLine="709"/>
        <w:jc w:val="both"/>
      </w:pPr>
    </w:p>
    <w:p w:rsidR="0047173C" w:rsidRDefault="0047173C" w:rsidP="00210F12">
      <w:pPr>
        <w:ind w:firstLine="709"/>
        <w:jc w:val="both"/>
      </w:pPr>
    </w:p>
    <w:p w:rsidR="0047173C" w:rsidRDefault="0047173C" w:rsidP="00210F12">
      <w:pPr>
        <w:ind w:firstLine="709"/>
        <w:jc w:val="both"/>
      </w:pPr>
    </w:p>
    <w:p w:rsidR="0047173C" w:rsidRDefault="0047173C" w:rsidP="00210F12">
      <w:pPr>
        <w:ind w:firstLine="709"/>
        <w:jc w:val="both"/>
      </w:pPr>
    </w:p>
    <w:p w:rsidR="0047173C" w:rsidRPr="00AE323F" w:rsidRDefault="0047173C" w:rsidP="00210F12">
      <w:pPr>
        <w:ind w:firstLine="709"/>
        <w:jc w:val="both"/>
      </w:pPr>
    </w:p>
    <w:p w:rsidR="0047173C" w:rsidRPr="00AE323F" w:rsidRDefault="0047173C" w:rsidP="00210F12">
      <w:pPr>
        <w:ind w:firstLine="709"/>
        <w:jc w:val="both"/>
      </w:pPr>
    </w:p>
    <w:p w:rsidR="0047173C" w:rsidRPr="00AE323F" w:rsidRDefault="0047173C" w:rsidP="00210F12">
      <w:pPr>
        <w:ind w:firstLine="709"/>
        <w:jc w:val="both"/>
      </w:pPr>
    </w:p>
    <w:p w:rsidR="0047173C" w:rsidRPr="00AE323F" w:rsidRDefault="0047173C" w:rsidP="00210F12">
      <w:pPr>
        <w:ind w:firstLine="709"/>
        <w:jc w:val="both"/>
      </w:pPr>
    </w:p>
    <w:p w:rsidR="0047173C" w:rsidRPr="00AE323F" w:rsidRDefault="0047173C" w:rsidP="00210F12">
      <w:pPr>
        <w:ind w:firstLine="709"/>
        <w:jc w:val="both"/>
      </w:pPr>
    </w:p>
    <w:p w:rsidR="0047173C" w:rsidRDefault="0047173C" w:rsidP="00210F12">
      <w:pPr>
        <w:ind w:firstLine="709"/>
        <w:jc w:val="both"/>
      </w:pPr>
    </w:p>
    <w:p w:rsidR="0047173C" w:rsidRDefault="0047173C" w:rsidP="00210F12">
      <w:pPr>
        <w:ind w:firstLine="709"/>
        <w:jc w:val="both"/>
      </w:pPr>
    </w:p>
    <w:p w:rsidR="0047173C" w:rsidRDefault="0047173C" w:rsidP="00210F12">
      <w:pPr>
        <w:ind w:firstLine="709"/>
        <w:jc w:val="both"/>
      </w:pPr>
    </w:p>
    <w:p w:rsidR="0047173C" w:rsidRDefault="0047173C" w:rsidP="00210F12">
      <w:pPr>
        <w:ind w:firstLine="709"/>
        <w:jc w:val="both"/>
      </w:pPr>
    </w:p>
    <w:p w:rsidR="0047173C" w:rsidRPr="00AE323F" w:rsidRDefault="0047173C" w:rsidP="00210F12">
      <w:pPr>
        <w:ind w:firstLine="709"/>
        <w:jc w:val="both"/>
      </w:pPr>
    </w:p>
    <w:p w:rsidR="0047173C" w:rsidRPr="00AE323F" w:rsidRDefault="0047173C" w:rsidP="00210F12">
      <w:pPr>
        <w:ind w:firstLine="709"/>
        <w:jc w:val="both"/>
      </w:pPr>
    </w:p>
    <w:p w:rsidR="0047173C" w:rsidRDefault="0047173C" w:rsidP="00210F12">
      <w:pPr>
        <w:rPr>
          <w:b/>
          <w:color w:val="000000"/>
        </w:rPr>
      </w:pPr>
    </w:p>
    <w:p w:rsidR="0047173C" w:rsidRPr="00217E7D" w:rsidRDefault="0047173C" w:rsidP="00210F12">
      <w:pPr>
        <w:jc w:val="center"/>
        <w:rPr>
          <w:b/>
          <w:color w:val="000000"/>
        </w:rPr>
      </w:pPr>
      <w:r>
        <w:rPr>
          <w:b/>
          <w:color w:val="000000"/>
        </w:rPr>
        <w:t>TAMAMLAYICI BEYAN DETAYLARI</w:t>
      </w:r>
    </w:p>
    <w:tbl>
      <w:tblPr>
        <w:tblpPr w:leftFromText="141" w:rightFromText="141" w:vertAnchor="text" w:tblpXSpec="center" w:tblpY="1"/>
        <w:tblOverlap w:val="never"/>
        <w:tblW w:w="9309" w:type="dxa"/>
        <w:tblCellSpacing w:w="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0" w:type="dxa"/>
          <w:right w:w="70" w:type="dxa"/>
        </w:tblCellMar>
        <w:tblLook w:val="00A0"/>
      </w:tblPr>
      <w:tblGrid>
        <w:gridCol w:w="2525"/>
        <w:gridCol w:w="6784"/>
      </w:tblGrid>
      <w:tr w:rsidR="0047173C" w:rsidRPr="00AE323F" w:rsidTr="004F0A77">
        <w:trPr>
          <w:trHeight w:val="276"/>
          <w:tblCellSpacing w:w="20" w:type="dxa"/>
        </w:trPr>
        <w:tc>
          <w:tcPr>
            <w:tcW w:w="2465" w:type="dxa"/>
            <w:vAlign w:val="center"/>
          </w:tcPr>
          <w:p w:rsidR="0047173C" w:rsidRPr="00AE323F" w:rsidRDefault="0047173C" w:rsidP="004F0A77">
            <w:r w:rsidRPr="00AE323F">
              <w:t>Royalti/L</w:t>
            </w:r>
            <w:r>
              <w:t>isans ücretinin tahakkuk tarihi ve tutarı</w:t>
            </w:r>
          </w:p>
        </w:tc>
        <w:tc>
          <w:tcPr>
            <w:tcW w:w="6724" w:type="dxa"/>
            <w:vAlign w:val="center"/>
          </w:tcPr>
          <w:p w:rsidR="0047173C" w:rsidRPr="00AE323F" w:rsidRDefault="0047173C" w:rsidP="004F0A77"/>
        </w:tc>
      </w:tr>
      <w:tr w:rsidR="0047173C" w:rsidRPr="00AE323F" w:rsidTr="004F0A77">
        <w:trPr>
          <w:trHeight w:val="276"/>
          <w:tblCellSpacing w:w="20" w:type="dxa"/>
        </w:trPr>
        <w:tc>
          <w:tcPr>
            <w:tcW w:w="2465" w:type="dxa"/>
            <w:vAlign w:val="center"/>
          </w:tcPr>
          <w:p w:rsidR="0047173C" w:rsidRDefault="0047173C" w:rsidP="004F0A77">
            <w:r>
              <w:t xml:space="preserve">Royalti/Lisans </w:t>
            </w:r>
          </w:p>
          <w:p w:rsidR="0047173C" w:rsidRPr="00AE323F" w:rsidRDefault="0047173C" w:rsidP="004F0A77">
            <w:r>
              <w:t xml:space="preserve">Hesaplama </w:t>
            </w:r>
            <w:r w:rsidRPr="00AE323F">
              <w:t>Dönemi:</w:t>
            </w:r>
          </w:p>
        </w:tc>
        <w:tc>
          <w:tcPr>
            <w:tcW w:w="6724" w:type="dxa"/>
            <w:vAlign w:val="center"/>
          </w:tcPr>
          <w:p w:rsidR="0047173C" w:rsidRPr="00AE323F" w:rsidRDefault="0047173C" w:rsidP="004F0A77"/>
        </w:tc>
      </w:tr>
      <w:tr w:rsidR="0047173C" w:rsidRPr="00AE323F" w:rsidTr="004F0A77">
        <w:trPr>
          <w:trHeight w:val="276"/>
          <w:tblCellSpacing w:w="20" w:type="dxa"/>
        </w:trPr>
        <w:tc>
          <w:tcPr>
            <w:tcW w:w="2465" w:type="dxa"/>
            <w:vAlign w:val="center"/>
          </w:tcPr>
          <w:p w:rsidR="0047173C" w:rsidRDefault="0047173C" w:rsidP="004F0A77">
            <w:r w:rsidRPr="00AE323F">
              <w:t xml:space="preserve">Royalti/Lisans Ücretinin Hesaplama </w:t>
            </w:r>
            <w:r>
              <w:t>Usulü(*)</w:t>
            </w:r>
          </w:p>
          <w:p w:rsidR="0047173C" w:rsidRPr="009C5231" w:rsidRDefault="0047173C" w:rsidP="004F0A77">
            <w:pPr>
              <w:rPr>
                <w:sz w:val="18"/>
                <w:szCs w:val="18"/>
              </w:rPr>
            </w:pPr>
          </w:p>
        </w:tc>
        <w:tc>
          <w:tcPr>
            <w:tcW w:w="6724" w:type="dxa"/>
            <w:vAlign w:val="center"/>
          </w:tcPr>
          <w:p w:rsidR="0047173C" w:rsidRPr="00AE323F" w:rsidRDefault="0047173C" w:rsidP="004F0A77"/>
          <w:p w:rsidR="0047173C" w:rsidRPr="00AE323F" w:rsidRDefault="0047173C" w:rsidP="004F0A77"/>
          <w:p w:rsidR="0047173C" w:rsidRPr="00AE323F" w:rsidRDefault="0047173C" w:rsidP="004F0A77"/>
          <w:p w:rsidR="0047173C" w:rsidRPr="00AE323F" w:rsidRDefault="0047173C" w:rsidP="004F0A77"/>
          <w:p w:rsidR="0047173C" w:rsidRPr="00AE323F" w:rsidRDefault="0047173C" w:rsidP="004F0A77"/>
          <w:p w:rsidR="0047173C" w:rsidRDefault="0047173C" w:rsidP="004F0A77"/>
          <w:p w:rsidR="0047173C" w:rsidRPr="00AE323F" w:rsidRDefault="0047173C" w:rsidP="004F0A77"/>
          <w:p w:rsidR="0047173C" w:rsidRPr="00AE323F" w:rsidRDefault="0047173C" w:rsidP="004F0A77"/>
        </w:tc>
      </w:tr>
    </w:tbl>
    <w:p w:rsidR="0047173C" w:rsidRDefault="0047173C" w:rsidP="00210F12"/>
    <w:tbl>
      <w:tblPr>
        <w:tblW w:w="9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809"/>
        <w:gridCol w:w="574"/>
        <w:gridCol w:w="571"/>
        <w:gridCol w:w="566"/>
        <w:gridCol w:w="560"/>
        <w:gridCol w:w="572"/>
        <w:gridCol w:w="345"/>
        <w:gridCol w:w="1022"/>
        <w:gridCol w:w="544"/>
        <w:gridCol w:w="419"/>
        <w:gridCol w:w="673"/>
        <w:gridCol w:w="546"/>
        <w:gridCol w:w="544"/>
        <w:gridCol w:w="546"/>
        <w:gridCol w:w="546"/>
        <w:gridCol w:w="573"/>
      </w:tblGrid>
      <w:tr w:rsidR="0047173C" w:rsidTr="00C479F2">
        <w:trPr>
          <w:cantSplit/>
          <w:trHeight w:val="1013"/>
        </w:trPr>
        <w:tc>
          <w:tcPr>
            <w:tcW w:w="809" w:type="dxa"/>
            <w:textDirection w:val="btLr"/>
          </w:tcPr>
          <w:p w:rsidR="0047173C" w:rsidRPr="00C479F2" w:rsidRDefault="0047173C" w:rsidP="00C479F2">
            <w:pPr>
              <w:ind w:left="113" w:right="113"/>
              <w:rPr>
                <w:b/>
                <w:sz w:val="20"/>
                <w:szCs w:val="20"/>
              </w:rPr>
            </w:pPr>
            <w:r w:rsidRPr="00C479F2">
              <w:rPr>
                <w:b/>
                <w:sz w:val="20"/>
                <w:szCs w:val="20"/>
              </w:rPr>
              <w:t>Vergi Tutarı</w:t>
            </w:r>
          </w:p>
        </w:tc>
        <w:tc>
          <w:tcPr>
            <w:tcW w:w="574" w:type="dxa"/>
            <w:textDirection w:val="btLr"/>
          </w:tcPr>
          <w:p w:rsidR="0047173C" w:rsidRPr="00C479F2" w:rsidRDefault="0047173C" w:rsidP="00C479F2">
            <w:pPr>
              <w:ind w:left="113" w:right="113"/>
              <w:rPr>
                <w:sz w:val="22"/>
                <w:szCs w:val="22"/>
              </w:rPr>
            </w:pPr>
            <w:r w:rsidRPr="00C479F2">
              <w:rPr>
                <w:sz w:val="22"/>
                <w:szCs w:val="22"/>
              </w:rPr>
              <w:t>97,5</w:t>
            </w:r>
          </w:p>
        </w:tc>
        <w:tc>
          <w:tcPr>
            <w:tcW w:w="571" w:type="dxa"/>
            <w:textDirection w:val="btLr"/>
          </w:tcPr>
          <w:p w:rsidR="0047173C" w:rsidRPr="00C479F2" w:rsidRDefault="0047173C" w:rsidP="00C479F2">
            <w:pPr>
              <w:ind w:left="113" w:right="113"/>
              <w:rPr>
                <w:sz w:val="22"/>
                <w:szCs w:val="22"/>
              </w:rPr>
            </w:pPr>
            <w:r w:rsidRPr="00C479F2">
              <w:rPr>
                <w:sz w:val="22"/>
                <w:szCs w:val="22"/>
              </w:rPr>
              <w:t>319,5</w:t>
            </w:r>
          </w:p>
        </w:tc>
        <w:tc>
          <w:tcPr>
            <w:tcW w:w="566" w:type="dxa"/>
            <w:textDirection w:val="btLr"/>
          </w:tcPr>
          <w:p w:rsidR="0047173C" w:rsidRPr="00C479F2" w:rsidRDefault="0047173C" w:rsidP="00C479F2">
            <w:pPr>
              <w:ind w:left="113" w:right="113"/>
              <w:rPr>
                <w:sz w:val="22"/>
                <w:szCs w:val="22"/>
              </w:rPr>
            </w:pPr>
            <w:r w:rsidRPr="00C479F2">
              <w:rPr>
                <w:sz w:val="22"/>
                <w:szCs w:val="22"/>
              </w:rPr>
              <w:t>345,06</w:t>
            </w:r>
          </w:p>
        </w:tc>
        <w:tc>
          <w:tcPr>
            <w:tcW w:w="560" w:type="dxa"/>
            <w:textDirection w:val="btLr"/>
          </w:tcPr>
          <w:p w:rsidR="0047173C" w:rsidRPr="00C479F2" w:rsidRDefault="0047173C" w:rsidP="00C479F2">
            <w:pPr>
              <w:ind w:left="113" w:right="113"/>
              <w:rPr>
                <w:sz w:val="20"/>
                <w:szCs w:val="20"/>
              </w:rPr>
            </w:pPr>
            <w:r w:rsidRPr="00C479F2">
              <w:rPr>
                <w:sz w:val="20"/>
                <w:szCs w:val="20"/>
              </w:rPr>
              <w:t>135</w:t>
            </w:r>
          </w:p>
        </w:tc>
        <w:tc>
          <w:tcPr>
            <w:tcW w:w="572" w:type="dxa"/>
            <w:textDirection w:val="btLr"/>
          </w:tcPr>
          <w:p w:rsidR="0047173C" w:rsidRPr="00C479F2" w:rsidRDefault="0047173C" w:rsidP="00C479F2">
            <w:pPr>
              <w:ind w:left="113" w:right="113"/>
              <w:rPr>
                <w:sz w:val="22"/>
                <w:szCs w:val="22"/>
              </w:rPr>
            </w:pPr>
            <w:r w:rsidRPr="00C479F2">
              <w:rPr>
                <w:sz w:val="22"/>
                <w:szCs w:val="22"/>
              </w:rPr>
              <w:t>240</w:t>
            </w:r>
          </w:p>
        </w:tc>
        <w:tc>
          <w:tcPr>
            <w:tcW w:w="345" w:type="dxa"/>
            <w:textDirection w:val="btLr"/>
          </w:tcPr>
          <w:p w:rsidR="0047173C" w:rsidRPr="00C479F2" w:rsidRDefault="0047173C" w:rsidP="00C479F2">
            <w:pPr>
              <w:ind w:left="113" w:right="113"/>
              <w:rPr>
                <w:b/>
                <w:sz w:val="22"/>
                <w:szCs w:val="22"/>
              </w:rPr>
            </w:pPr>
            <w:r w:rsidRPr="00C479F2">
              <w:rPr>
                <w:b/>
                <w:sz w:val="22"/>
                <w:szCs w:val="22"/>
              </w:rPr>
              <w:t>1.137,06</w:t>
            </w:r>
          </w:p>
        </w:tc>
        <w:tc>
          <w:tcPr>
            <w:tcW w:w="1022" w:type="dxa"/>
            <w:textDirection w:val="btLr"/>
          </w:tcPr>
          <w:p w:rsidR="0047173C" w:rsidRPr="00C479F2" w:rsidRDefault="0047173C" w:rsidP="00C479F2">
            <w:pPr>
              <w:ind w:left="113" w:right="113"/>
              <w:rPr>
                <w:sz w:val="22"/>
                <w:szCs w:val="22"/>
              </w:rPr>
            </w:pPr>
          </w:p>
        </w:tc>
        <w:tc>
          <w:tcPr>
            <w:tcW w:w="544" w:type="dxa"/>
            <w:textDirection w:val="btLr"/>
          </w:tcPr>
          <w:p w:rsidR="0047173C" w:rsidRPr="00C479F2" w:rsidRDefault="0047173C" w:rsidP="00C479F2">
            <w:pPr>
              <w:ind w:left="113" w:right="113"/>
              <w:rPr>
                <w:sz w:val="20"/>
                <w:szCs w:val="20"/>
              </w:rPr>
            </w:pPr>
          </w:p>
        </w:tc>
        <w:tc>
          <w:tcPr>
            <w:tcW w:w="419" w:type="dxa"/>
            <w:textDirection w:val="btLr"/>
          </w:tcPr>
          <w:p w:rsidR="0047173C" w:rsidRPr="00C479F2" w:rsidRDefault="0047173C" w:rsidP="00C479F2">
            <w:pPr>
              <w:ind w:left="113" w:right="113"/>
              <w:rPr>
                <w:b/>
                <w:sz w:val="22"/>
                <w:szCs w:val="22"/>
              </w:rPr>
            </w:pPr>
            <w:r w:rsidRPr="00C479F2">
              <w:rPr>
                <w:b/>
                <w:sz w:val="22"/>
                <w:szCs w:val="22"/>
              </w:rPr>
              <w:t>…</w:t>
            </w:r>
          </w:p>
        </w:tc>
        <w:tc>
          <w:tcPr>
            <w:tcW w:w="673" w:type="dxa"/>
            <w:textDirection w:val="btLr"/>
          </w:tcPr>
          <w:p w:rsidR="0047173C" w:rsidRPr="00C479F2" w:rsidRDefault="0047173C" w:rsidP="00C479F2">
            <w:pPr>
              <w:ind w:left="113" w:right="113"/>
              <w:rPr>
                <w:sz w:val="22"/>
                <w:szCs w:val="22"/>
              </w:rPr>
            </w:pPr>
          </w:p>
        </w:tc>
        <w:tc>
          <w:tcPr>
            <w:tcW w:w="546" w:type="dxa"/>
            <w:textDirection w:val="btLr"/>
          </w:tcPr>
          <w:p w:rsidR="0047173C" w:rsidRPr="00C479F2" w:rsidRDefault="0047173C" w:rsidP="00C479F2">
            <w:pPr>
              <w:ind w:left="113" w:right="113"/>
              <w:rPr>
                <w:sz w:val="22"/>
                <w:szCs w:val="22"/>
              </w:rPr>
            </w:pPr>
          </w:p>
        </w:tc>
        <w:tc>
          <w:tcPr>
            <w:tcW w:w="544" w:type="dxa"/>
            <w:textDirection w:val="btLr"/>
          </w:tcPr>
          <w:p w:rsidR="0047173C" w:rsidRPr="00C479F2" w:rsidRDefault="0047173C" w:rsidP="00C479F2">
            <w:pPr>
              <w:ind w:left="113" w:right="113"/>
              <w:rPr>
                <w:sz w:val="20"/>
                <w:szCs w:val="20"/>
              </w:rPr>
            </w:pPr>
          </w:p>
        </w:tc>
        <w:tc>
          <w:tcPr>
            <w:tcW w:w="546" w:type="dxa"/>
            <w:textDirection w:val="btLr"/>
          </w:tcPr>
          <w:p w:rsidR="0047173C" w:rsidRPr="00C479F2" w:rsidRDefault="0047173C" w:rsidP="00C479F2">
            <w:pPr>
              <w:ind w:left="113" w:right="113"/>
              <w:rPr>
                <w:sz w:val="22"/>
                <w:szCs w:val="22"/>
              </w:rPr>
            </w:pPr>
          </w:p>
        </w:tc>
        <w:tc>
          <w:tcPr>
            <w:tcW w:w="546" w:type="dxa"/>
            <w:textDirection w:val="btLr"/>
          </w:tcPr>
          <w:p w:rsidR="0047173C" w:rsidRPr="00C479F2" w:rsidRDefault="0047173C" w:rsidP="00C479F2">
            <w:pPr>
              <w:ind w:left="113" w:right="113"/>
              <w:rPr>
                <w:sz w:val="22"/>
                <w:szCs w:val="22"/>
              </w:rPr>
            </w:pPr>
          </w:p>
        </w:tc>
        <w:tc>
          <w:tcPr>
            <w:tcW w:w="573" w:type="dxa"/>
            <w:textDirection w:val="btLr"/>
          </w:tcPr>
          <w:p w:rsidR="0047173C" w:rsidRPr="00C479F2" w:rsidRDefault="0047173C" w:rsidP="00C479F2">
            <w:pPr>
              <w:ind w:left="113" w:right="113"/>
              <w:rPr>
                <w:b/>
                <w:sz w:val="22"/>
                <w:szCs w:val="22"/>
              </w:rPr>
            </w:pPr>
            <w:r w:rsidRPr="00C479F2">
              <w:rPr>
                <w:b/>
                <w:sz w:val="22"/>
                <w:szCs w:val="22"/>
              </w:rPr>
              <w:t>…</w:t>
            </w:r>
          </w:p>
        </w:tc>
      </w:tr>
      <w:tr w:rsidR="0047173C" w:rsidTr="00C479F2">
        <w:trPr>
          <w:cantSplit/>
          <w:trHeight w:val="843"/>
        </w:trPr>
        <w:tc>
          <w:tcPr>
            <w:tcW w:w="809" w:type="dxa"/>
            <w:textDirection w:val="btLr"/>
          </w:tcPr>
          <w:p w:rsidR="0047173C" w:rsidRPr="00C479F2" w:rsidRDefault="0047173C" w:rsidP="00C479F2">
            <w:pPr>
              <w:ind w:left="113" w:right="113"/>
              <w:rPr>
                <w:b/>
                <w:sz w:val="20"/>
                <w:szCs w:val="20"/>
              </w:rPr>
            </w:pPr>
            <w:r w:rsidRPr="00C479F2">
              <w:rPr>
                <w:b/>
                <w:sz w:val="20"/>
                <w:szCs w:val="20"/>
              </w:rPr>
              <w:t>Vergi</w:t>
            </w:r>
          </w:p>
          <w:p w:rsidR="0047173C" w:rsidRPr="00C479F2" w:rsidRDefault="0047173C" w:rsidP="00C479F2">
            <w:pPr>
              <w:ind w:left="113" w:right="113"/>
              <w:rPr>
                <w:b/>
                <w:sz w:val="20"/>
                <w:szCs w:val="20"/>
              </w:rPr>
            </w:pPr>
            <w:r w:rsidRPr="00C479F2">
              <w:rPr>
                <w:b/>
                <w:sz w:val="20"/>
                <w:szCs w:val="20"/>
              </w:rPr>
              <w:t>Oranı</w:t>
            </w:r>
          </w:p>
          <w:p w:rsidR="0047173C" w:rsidRPr="00C479F2" w:rsidRDefault="0047173C" w:rsidP="00C479F2">
            <w:pPr>
              <w:ind w:left="113" w:right="113"/>
              <w:rPr>
                <w:b/>
                <w:sz w:val="20"/>
                <w:szCs w:val="20"/>
              </w:rPr>
            </w:pPr>
            <w:r w:rsidRPr="00C479F2">
              <w:rPr>
                <w:b/>
                <w:sz w:val="20"/>
                <w:szCs w:val="20"/>
              </w:rPr>
              <w:t>(%)</w:t>
            </w:r>
          </w:p>
        </w:tc>
        <w:tc>
          <w:tcPr>
            <w:tcW w:w="574" w:type="dxa"/>
            <w:textDirection w:val="btLr"/>
          </w:tcPr>
          <w:p w:rsidR="0047173C" w:rsidRPr="00C479F2" w:rsidRDefault="0047173C" w:rsidP="00C479F2">
            <w:pPr>
              <w:ind w:left="113" w:right="113"/>
              <w:rPr>
                <w:sz w:val="22"/>
                <w:szCs w:val="22"/>
              </w:rPr>
            </w:pPr>
            <w:r w:rsidRPr="00C479F2">
              <w:rPr>
                <w:sz w:val="22"/>
                <w:szCs w:val="22"/>
              </w:rPr>
              <w:t>6,5</w:t>
            </w:r>
          </w:p>
        </w:tc>
        <w:tc>
          <w:tcPr>
            <w:tcW w:w="571" w:type="dxa"/>
            <w:textDirection w:val="btLr"/>
          </w:tcPr>
          <w:p w:rsidR="0047173C" w:rsidRPr="00C479F2" w:rsidRDefault="0047173C" w:rsidP="00C479F2">
            <w:pPr>
              <w:ind w:left="113" w:right="113"/>
              <w:rPr>
                <w:sz w:val="22"/>
                <w:szCs w:val="22"/>
              </w:rPr>
            </w:pPr>
            <w:r w:rsidRPr="00C479F2">
              <w:rPr>
                <w:sz w:val="22"/>
                <w:szCs w:val="22"/>
              </w:rPr>
              <w:t>20</w:t>
            </w:r>
          </w:p>
        </w:tc>
        <w:tc>
          <w:tcPr>
            <w:tcW w:w="566" w:type="dxa"/>
            <w:textDirection w:val="btLr"/>
          </w:tcPr>
          <w:p w:rsidR="0047173C" w:rsidRPr="00C479F2" w:rsidRDefault="0047173C" w:rsidP="00C479F2">
            <w:pPr>
              <w:ind w:left="113" w:right="113"/>
              <w:rPr>
                <w:sz w:val="22"/>
                <w:szCs w:val="22"/>
              </w:rPr>
            </w:pPr>
            <w:r w:rsidRPr="00C479F2">
              <w:rPr>
                <w:sz w:val="22"/>
                <w:szCs w:val="22"/>
              </w:rPr>
              <w:t>18</w:t>
            </w:r>
          </w:p>
        </w:tc>
        <w:tc>
          <w:tcPr>
            <w:tcW w:w="560" w:type="dxa"/>
            <w:textDirection w:val="btLr"/>
          </w:tcPr>
          <w:p w:rsidR="0047173C" w:rsidRPr="00C479F2" w:rsidRDefault="0047173C" w:rsidP="00C479F2">
            <w:pPr>
              <w:ind w:left="113" w:right="113"/>
              <w:rPr>
                <w:sz w:val="20"/>
                <w:szCs w:val="20"/>
              </w:rPr>
            </w:pPr>
            <w:r w:rsidRPr="00C479F2">
              <w:rPr>
                <w:sz w:val="20"/>
                <w:szCs w:val="20"/>
              </w:rPr>
              <w:t>18</w:t>
            </w:r>
          </w:p>
        </w:tc>
        <w:tc>
          <w:tcPr>
            <w:tcW w:w="572" w:type="dxa"/>
            <w:textDirection w:val="btLr"/>
          </w:tcPr>
          <w:p w:rsidR="0047173C" w:rsidRPr="00C479F2" w:rsidRDefault="0047173C" w:rsidP="00C479F2">
            <w:pPr>
              <w:ind w:left="113" w:right="113"/>
              <w:rPr>
                <w:sz w:val="22"/>
                <w:szCs w:val="22"/>
              </w:rPr>
            </w:pPr>
            <w:r w:rsidRPr="00C479F2">
              <w:rPr>
                <w:sz w:val="22"/>
                <w:szCs w:val="22"/>
              </w:rPr>
              <w:t>8</w:t>
            </w:r>
          </w:p>
        </w:tc>
        <w:tc>
          <w:tcPr>
            <w:tcW w:w="345" w:type="dxa"/>
            <w:vMerge w:val="restart"/>
            <w:textDirection w:val="btLr"/>
          </w:tcPr>
          <w:p w:rsidR="0047173C" w:rsidRPr="00C479F2" w:rsidRDefault="0047173C" w:rsidP="00C479F2">
            <w:pPr>
              <w:ind w:left="113" w:right="113"/>
              <w:rPr>
                <w:sz w:val="22"/>
                <w:szCs w:val="22"/>
              </w:rPr>
            </w:pPr>
          </w:p>
        </w:tc>
        <w:tc>
          <w:tcPr>
            <w:tcW w:w="1022" w:type="dxa"/>
            <w:textDirection w:val="btLr"/>
          </w:tcPr>
          <w:p w:rsidR="0047173C" w:rsidRPr="00C479F2" w:rsidRDefault="0047173C" w:rsidP="00C479F2">
            <w:pPr>
              <w:ind w:left="113" w:right="113"/>
              <w:rPr>
                <w:sz w:val="22"/>
                <w:szCs w:val="22"/>
              </w:rPr>
            </w:pPr>
          </w:p>
        </w:tc>
        <w:tc>
          <w:tcPr>
            <w:tcW w:w="544" w:type="dxa"/>
            <w:textDirection w:val="btLr"/>
          </w:tcPr>
          <w:p w:rsidR="0047173C" w:rsidRPr="00C479F2" w:rsidRDefault="0047173C" w:rsidP="00C479F2">
            <w:pPr>
              <w:ind w:left="113" w:right="113"/>
              <w:rPr>
                <w:sz w:val="20"/>
                <w:szCs w:val="20"/>
              </w:rPr>
            </w:pPr>
          </w:p>
        </w:tc>
        <w:tc>
          <w:tcPr>
            <w:tcW w:w="419" w:type="dxa"/>
            <w:vMerge w:val="restart"/>
            <w:textDirection w:val="btLr"/>
          </w:tcPr>
          <w:p w:rsidR="0047173C" w:rsidRPr="00C479F2" w:rsidRDefault="0047173C" w:rsidP="00C479F2">
            <w:pPr>
              <w:ind w:left="113" w:right="113"/>
              <w:rPr>
                <w:sz w:val="22"/>
                <w:szCs w:val="22"/>
              </w:rPr>
            </w:pPr>
          </w:p>
        </w:tc>
        <w:tc>
          <w:tcPr>
            <w:tcW w:w="673" w:type="dxa"/>
            <w:textDirection w:val="btLr"/>
          </w:tcPr>
          <w:p w:rsidR="0047173C" w:rsidRPr="00C479F2" w:rsidRDefault="0047173C" w:rsidP="00C479F2">
            <w:pPr>
              <w:ind w:left="113" w:right="113"/>
              <w:rPr>
                <w:sz w:val="22"/>
                <w:szCs w:val="22"/>
              </w:rPr>
            </w:pPr>
          </w:p>
        </w:tc>
        <w:tc>
          <w:tcPr>
            <w:tcW w:w="546" w:type="dxa"/>
            <w:textDirection w:val="btLr"/>
          </w:tcPr>
          <w:p w:rsidR="0047173C" w:rsidRPr="00C479F2" w:rsidRDefault="0047173C" w:rsidP="00C479F2">
            <w:pPr>
              <w:ind w:left="113" w:right="113"/>
              <w:rPr>
                <w:sz w:val="22"/>
                <w:szCs w:val="22"/>
              </w:rPr>
            </w:pPr>
          </w:p>
        </w:tc>
        <w:tc>
          <w:tcPr>
            <w:tcW w:w="544" w:type="dxa"/>
            <w:textDirection w:val="btLr"/>
          </w:tcPr>
          <w:p w:rsidR="0047173C" w:rsidRPr="00C479F2" w:rsidRDefault="0047173C" w:rsidP="00C479F2">
            <w:pPr>
              <w:ind w:left="113" w:right="113"/>
              <w:rPr>
                <w:sz w:val="20"/>
                <w:szCs w:val="20"/>
              </w:rPr>
            </w:pPr>
          </w:p>
        </w:tc>
        <w:tc>
          <w:tcPr>
            <w:tcW w:w="546" w:type="dxa"/>
            <w:textDirection w:val="btLr"/>
          </w:tcPr>
          <w:p w:rsidR="0047173C" w:rsidRPr="00C479F2" w:rsidRDefault="0047173C" w:rsidP="00C479F2">
            <w:pPr>
              <w:ind w:left="113" w:right="113"/>
              <w:rPr>
                <w:sz w:val="22"/>
                <w:szCs w:val="22"/>
              </w:rPr>
            </w:pPr>
          </w:p>
        </w:tc>
        <w:tc>
          <w:tcPr>
            <w:tcW w:w="546" w:type="dxa"/>
            <w:textDirection w:val="btLr"/>
          </w:tcPr>
          <w:p w:rsidR="0047173C" w:rsidRPr="00C479F2" w:rsidRDefault="0047173C" w:rsidP="00C479F2">
            <w:pPr>
              <w:ind w:left="113" w:right="113"/>
              <w:rPr>
                <w:sz w:val="22"/>
                <w:szCs w:val="22"/>
              </w:rPr>
            </w:pPr>
          </w:p>
        </w:tc>
        <w:tc>
          <w:tcPr>
            <w:tcW w:w="573" w:type="dxa"/>
            <w:textDirection w:val="btLr"/>
          </w:tcPr>
          <w:p w:rsidR="0047173C" w:rsidRPr="00C479F2" w:rsidRDefault="0047173C" w:rsidP="00C479F2">
            <w:pPr>
              <w:ind w:left="113" w:right="113"/>
              <w:rPr>
                <w:b/>
                <w:sz w:val="20"/>
                <w:szCs w:val="20"/>
              </w:rPr>
            </w:pPr>
            <w:r w:rsidRPr="00C479F2">
              <w:rPr>
                <w:b/>
                <w:sz w:val="20"/>
                <w:szCs w:val="20"/>
              </w:rPr>
              <w:t>=</w:t>
            </w:r>
          </w:p>
        </w:tc>
      </w:tr>
      <w:tr w:rsidR="0047173C" w:rsidTr="00C479F2">
        <w:trPr>
          <w:cantSplit/>
          <w:trHeight w:val="1134"/>
        </w:trPr>
        <w:tc>
          <w:tcPr>
            <w:tcW w:w="809" w:type="dxa"/>
            <w:textDirection w:val="btLr"/>
          </w:tcPr>
          <w:p w:rsidR="0047173C" w:rsidRPr="00C479F2" w:rsidRDefault="0047173C" w:rsidP="00C479F2">
            <w:pPr>
              <w:ind w:left="113" w:right="113"/>
              <w:rPr>
                <w:b/>
                <w:sz w:val="20"/>
                <w:szCs w:val="20"/>
              </w:rPr>
            </w:pPr>
            <w:r w:rsidRPr="00C479F2">
              <w:rPr>
                <w:b/>
                <w:sz w:val="20"/>
                <w:szCs w:val="20"/>
              </w:rPr>
              <w:t>Matrah</w:t>
            </w:r>
          </w:p>
        </w:tc>
        <w:tc>
          <w:tcPr>
            <w:tcW w:w="574" w:type="dxa"/>
            <w:textDirection w:val="btLr"/>
          </w:tcPr>
          <w:p w:rsidR="0047173C" w:rsidRPr="00C479F2" w:rsidRDefault="0047173C" w:rsidP="00C479F2">
            <w:pPr>
              <w:ind w:left="113" w:right="113"/>
              <w:rPr>
                <w:sz w:val="22"/>
                <w:szCs w:val="22"/>
              </w:rPr>
            </w:pPr>
            <w:r w:rsidRPr="00C479F2">
              <w:rPr>
                <w:sz w:val="22"/>
                <w:szCs w:val="22"/>
              </w:rPr>
              <w:t>1.500</w:t>
            </w:r>
          </w:p>
        </w:tc>
        <w:tc>
          <w:tcPr>
            <w:tcW w:w="571" w:type="dxa"/>
            <w:textDirection w:val="btLr"/>
          </w:tcPr>
          <w:p w:rsidR="0047173C" w:rsidRPr="00C479F2" w:rsidRDefault="0047173C" w:rsidP="00C479F2">
            <w:pPr>
              <w:ind w:left="113" w:right="113"/>
              <w:rPr>
                <w:sz w:val="22"/>
                <w:szCs w:val="22"/>
              </w:rPr>
            </w:pPr>
            <w:r w:rsidRPr="00C479F2">
              <w:rPr>
                <w:sz w:val="22"/>
                <w:szCs w:val="22"/>
              </w:rPr>
              <w:t>1.597,5</w:t>
            </w:r>
          </w:p>
        </w:tc>
        <w:tc>
          <w:tcPr>
            <w:tcW w:w="566" w:type="dxa"/>
            <w:textDirection w:val="btLr"/>
          </w:tcPr>
          <w:p w:rsidR="0047173C" w:rsidRPr="00C479F2" w:rsidRDefault="0047173C" w:rsidP="00C479F2">
            <w:pPr>
              <w:ind w:left="113" w:right="113"/>
              <w:rPr>
                <w:sz w:val="22"/>
                <w:szCs w:val="22"/>
              </w:rPr>
            </w:pPr>
            <w:r w:rsidRPr="00C479F2">
              <w:rPr>
                <w:sz w:val="22"/>
                <w:szCs w:val="22"/>
              </w:rPr>
              <w:t>1917</w:t>
            </w:r>
          </w:p>
        </w:tc>
        <w:tc>
          <w:tcPr>
            <w:tcW w:w="560" w:type="dxa"/>
            <w:textDirection w:val="btLr"/>
          </w:tcPr>
          <w:p w:rsidR="0047173C" w:rsidRPr="00C479F2" w:rsidRDefault="0047173C" w:rsidP="00C479F2">
            <w:pPr>
              <w:ind w:left="113" w:right="113"/>
              <w:rPr>
                <w:sz w:val="20"/>
                <w:szCs w:val="20"/>
              </w:rPr>
            </w:pPr>
            <w:r w:rsidRPr="00C479F2">
              <w:rPr>
                <w:sz w:val="20"/>
                <w:szCs w:val="20"/>
              </w:rPr>
              <w:t>750</w:t>
            </w:r>
          </w:p>
        </w:tc>
        <w:tc>
          <w:tcPr>
            <w:tcW w:w="572" w:type="dxa"/>
            <w:textDirection w:val="btLr"/>
          </w:tcPr>
          <w:p w:rsidR="0047173C" w:rsidRPr="00C479F2" w:rsidRDefault="0047173C" w:rsidP="00C479F2">
            <w:pPr>
              <w:ind w:left="113" w:right="113"/>
              <w:rPr>
                <w:sz w:val="22"/>
                <w:szCs w:val="22"/>
              </w:rPr>
            </w:pPr>
            <w:r w:rsidRPr="00C479F2">
              <w:rPr>
                <w:sz w:val="22"/>
                <w:szCs w:val="22"/>
              </w:rPr>
              <w:t>3.000</w:t>
            </w:r>
          </w:p>
        </w:tc>
        <w:tc>
          <w:tcPr>
            <w:tcW w:w="345" w:type="dxa"/>
            <w:vMerge/>
            <w:textDirection w:val="btLr"/>
          </w:tcPr>
          <w:p w:rsidR="0047173C" w:rsidRPr="00C479F2" w:rsidRDefault="0047173C" w:rsidP="00C479F2">
            <w:pPr>
              <w:ind w:left="113" w:right="113"/>
              <w:rPr>
                <w:sz w:val="22"/>
                <w:szCs w:val="22"/>
              </w:rPr>
            </w:pPr>
          </w:p>
        </w:tc>
        <w:tc>
          <w:tcPr>
            <w:tcW w:w="1022" w:type="dxa"/>
            <w:textDirection w:val="btLr"/>
          </w:tcPr>
          <w:p w:rsidR="0047173C" w:rsidRPr="00C479F2" w:rsidRDefault="0047173C" w:rsidP="00C479F2">
            <w:pPr>
              <w:ind w:left="113" w:right="113"/>
              <w:rPr>
                <w:sz w:val="22"/>
                <w:szCs w:val="22"/>
              </w:rPr>
            </w:pPr>
          </w:p>
        </w:tc>
        <w:tc>
          <w:tcPr>
            <w:tcW w:w="544" w:type="dxa"/>
            <w:textDirection w:val="btLr"/>
          </w:tcPr>
          <w:p w:rsidR="0047173C" w:rsidRPr="00C479F2" w:rsidRDefault="0047173C" w:rsidP="00C479F2">
            <w:pPr>
              <w:ind w:left="113" w:right="113"/>
              <w:rPr>
                <w:sz w:val="20"/>
                <w:szCs w:val="20"/>
              </w:rPr>
            </w:pPr>
          </w:p>
        </w:tc>
        <w:tc>
          <w:tcPr>
            <w:tcW w:w="419" w:type="dxa"/>
            <w:vMerge/>
            <w:textDirection w:val="btLr"/>
          </w:tcPr>
          <w:p w:rsidR="0047173C" w:rsidRPr="00C479F2" w:rsidRDefault="0047173C" w:rsidP="00C479F2">
            <w:pPr>
              <w:ind w:left="113" w:right="113"/>
              <w:rPr>
                <w:sz w:val="22"/>
                <w:szCs w:val="22"/>
              </w:rPr>
            </w:pPr>
          </w:p>
        </w:tc>
        <w:tc>
          <w:tcPr>
            <w:tcW w:w="673" w:type="dxa"/>
            <w:textDirection w:val="btLr"/>
          </w:tcPr>
          <w:p w:rsidR="0047173C" w:rsidRPr="00C479F2" w:rsidRDefault="0047173C" w:rsidP="00C479F2">
            <w:pPr>
              <w:ind w:left="113" w:right="113"/>
              <w:rPr>
                <w:sz w:val="22"/>
                <w:szCs w:val="22"/>
              </w:rPr>
            </w:pPr>
          </w:p>
        </w:tc>
        <w:tc>
          <w:tcPr>
            <w:tcW w:w="546" w:type="dxa"/>
            <w:textDirection w:val="btLr"/>
          </w:tcPr>
          <w:p w:rsidR="0047173C" w:rsidRPr="00C479F2" w:rsidRDefault="0047173C" w:rsidP="00C479F2">
            <w:pPr>
              <w:ind w:left="113" w:right="113"/>
              <w:rPr>
                <w:sz w:val="22"/>
                <w:szCs w:val="22"/>
              </w:rPr>
            </w:pPr>
          </w:p>
        </w:tc>
        <w:tc>
          <w:tcPr>
            <w:tcW w:w="544" w:type="dxa"/>
            <w:textDirection w:val="btLr"/>
          </w:tcPr>
          <w:p w:rsidR="0047173C" w:rsidRPr="00C479F2" w:rsidRDefault="0047173C" w:rsidP="00C479F2">
            <w:pPr>
              <w:ind w:left="113" w:right="113"/>
              <w:rPr>
                <w:sz w:val="20"/>
                <w:szCs w:val="20"/>
              </w:rPr>
            </w:pPr>
          </w:p>
        </w:tc>
        <w:tc>
          <w:tcPr>
            <w:tcW w:w="546" w:type="dxa"/>
            <w:textDirection w:val="btLr"/>
          </w:tcPr>
          <w:p w:rsidR="0047173C" w:rsidRPr="00C479F2" w:rsidRDefault="0047173C" w:rsidP="00C479F2">
            <w:pPr>
              <w:ind w:left="113" w:right="113"/>
              <w:rPr>
                <w:sz w:val="22"/>
                <w:szCs w:val="22"/>
              </w:rPr>
            </w:pPr>
          </w:p>
        </w:tc>
        <w:tc>
          <w:tcPr>
            <w:tcW w:w="546" w:type="dxa"/>
            <w:textDirection w:val="btLr"/>
          </w:tcPr>
          <w:p w:rsidR="0047173C" w:rsidRPr="00C479F2" w:rsidRDefault="0047173C" w:rsidP="00C479F2">
            <w:pPr>
              <w:ind w:left="113" w:right="113"/>
              <w:rPr>
                <w:sz w:val="22"/>
                <w:szCs w:val="22"/>
              </w:rPr>
            </w:pPr>
          </w:p>
        </w:tc>
        <w:tc>
          <w:tcPr>
            <w:tcW w:w="573" w:type="dxa"/>
            <w:textDirection w:val="btLr"/>
          </w:tcPr>
          <w:p w:rsidR="0047173C" w:rsidRPr="00C479F2" w:rsidRDefault="0047173C" w:rsidP="00C479F2">
            <w:pPr>
              <w:ind w:left="113" w:right="113"/>
              <w:rPr>
                <w:b/>
                <w:sz w:val="20"/>
                <w:szCs w:val="20"/>
              </w:rPr>
            </w:pPr>
            <w:r w:rsidRPr="00C479F2">
              <w:rPr>
                <w:b/>
                <w:sz w:val="20"/>
                <w:szCs w:val="20"/>
              </w:rPr>
              <w:t>TOPLAM</w:t>
            </w:r>
          </w:p>
          <w:p w:rsidR="0047173C" w:rsidRPr="00C479F2" w:rsidRDefault="0047173C" w:rsidP="00C479F2">
            <w:pPr>
              <w:ind w:left="113" w:right="113"/>
              <w:rPr>
                <w:b/>
                <w:sz w:val="20"/>
                <w:szCs w:val="20"/>
              </w:rPr>
            </w:pPr>
            <w:r w:rsidRPr="00C479F2">
              <w:rPr>
                <w:b/>
                <w:sz w:val="20"/>
                <w:szCs w:val="20"/>
              </w:rPr>
              <w:t>VERGİ</w:t>
            </w:r>
          </w:p>
        </w:tc>
      </w:tr>
      <w:tr w:rsidR="0047173C" w:rsidTr="00C479F2">
        <w:trPr>
          <w:cantSplit/>
          <w:trHeight w:val="829"/>
        </w:trPr>
        <w:tc>
          <w:tcPr>
            <w:tcW w:w="809" w:type="dxa"/>
            <w:textDirection w:val="btLr"/>
          </w:tcPr>
          <w:p w:rsidR="0047173C" w:rsidRPr="00C479F2" w:rsidRDefault="0047173C" w:rsidP="00C479F2">
            <w:pPr>
              <w:ind w:left="113" w:right="113"/>
              <w:rPr>
                <w:b/>
                <w:sz w:val="20"/>
                <w:szCs w:val="20"/>
              </w:rPr>
            </w:pPr>
            <w:r w:rsidRPr="00C479F2">
              <w:rPr>
                <w:b/>
                <w:sz w:val="20"/>
                <w:szCs w:val="20"/>
              </w:rPr>
              <w:t xml:space="preserve">Vergi </w:t>
            </w:r>
          </w:p>
          <w:p w:rsidR="0047173C" w:rsidRPr="00C479F2" w:rsidRDefault="0047173C" w:rsidP="00C479F2">
            <w:pPr>
              <w:ind w:left="113" w:right="113"/>
              <w:rPr>
                <w:b/>
                <w:sz w:val="20"/>
                <w:szCs w:val="20"/>
              </w:rPr>
            </w:pPr>
            <w:r w:rsidRPr="00C479F2">
              <w:rPr>
                <w:b/>
                <w:sz w:val="20"/>
                <w:szCs w:val="20"/>
              </w:rPr>
              <w:t>Türü</w:t>
            </w:r>
          </w:p>
        </w:tc>
        <w:tc>
          <w:tcPr>
            <w:tcW w:w="574" w:type="dxa"/>
            <w:textDirection w:val="btLr"/>
          </w:tcPr>
          <w:p w:rsidR="0047173C" w:rsidRPr="00C479F2" w:rsidRDefault="0047173C" w:rsidP="00C479F2">
            <w:pPr>
              <w:ind w:left="113" w:right="113"/>
              <w:rPr>
                <w:sz w:val="22"/>
                <w:szCs w:val="22"/>
              </w:rPr>
            </w:pPr>
            <w:r w:rsidRPr="00C479F2">
              <w:rPr>
                <w:sz w:val="22"/>
                <w:szCs w:val="22"/>
              </w:rPr>
              <w:t>GV</w:t>
            </w:r>
          </w:p>
        </w:tc>
        <w:tc>
          <w:tcPr>
            <w:tcW w:w="571" w:type="dxa"/>
            <w:textDirection w:val="btLr"/>
          </w:tcPr>
          <w:p w:rsidR="0047173C" w:rsidRPr="00C479F2" w:rsidRDefault="0047173C" w:rsidP="00C479F2">
            <w:pPr>
              <w:ind w:left="113" w:right="113"/>
              <w:rPr>
                <w:sz w:val="22"/>
                <w:szCs w:val="22"/>
              </w:rPr>
            </w:pPr>
            <w:r w:rsidRPr="00C479F2">
              <w:rPr>
                <w:sz w:val="22"/>
                <w:szCs w:val="22"/>
              </w:rPr>
              <w:t>ÖTV</w:t>
            </w:r>
          </w:p>
        </w:tc>
        <w:tc>
          <w:tcPr>
            <w:tcW w:w="566" w:type="dxa"/>
            <w:textDirection w:val="btLr"/>
          </w:tcPr>
          <w:p w:rsidR="0047173C" w:rsidRPr="00C479F2" w:rsidRDefault="0047173C" w:rsidP="00C479F2">
            <w:pPr>
              <w:ind w:left="113" w:right="113"/>
              <w:rPr>
                <w:sz w:val="22"/>
                <w:szCs w:val="22"/>
              </w:rPr>
            </w:pPr>
            <w:r w:rsidRPr="00C479F2">
              <w:rPr>
                <w:sz w:val="22"/>
                <w:szCs w:val="22"/>
              </w:rPr>
              <w:t>KDV</w:t>
            </w:r>
          </w:p>
        </w:tc>
        <w:tc>
          <w:tcPr>
            <w:tcW w:w="560" w:type="dxa"/>
            <w:textDirection w:val="btLr"/>
          </w:tcPr>
          <w:p w:rsidR="0047173C" w:rsidRPr="00C479F2" w:rsidRDefault="0047173C" w:rsidP="00C479F2">
            <w:pPr>
              <w:ind w:left="113" w:right="113"/>
              <w:rPr>
                <w:sz w:val="20"/>
                <w:szCs w:val="20"/>
              </w:rPr>
            </w:pPr>
            <w:r w:rsidRPr="00C479F2">
              <w:rPr>
                <w:sz w:val="20"/>
                <w:szCs w:val="20"/>
              </w:rPr>
              <w:t>KDV</w:t>
            </w:r>
          </w:p>
        </w:tc>
        <w:tc>
          <w:tcPr>
            <w:tcW w:w="572" w:type="dxa"/>
            <w:textDirection w:val="btLr"/>
          </w:tcPr>
          <w:p w:rsidR="0047173C" w:rsidRPr="00C479F2" w:rsidRDefault="0047173C" w:rsidP="00C479F2">
            <w:pPr>
              <w:ind w:left="113" w:right="113"/>
              <w:rPr>
                <w:sz w:val="22"/>
                <w:szCs w:val="22"/>
              </w:rPr>
            </w:pPr>
            <w:r w:rsidRPr="00C479F2">
              <w:rPr>
                <w:sz w:val="22"/>
                <w:szCs w:val="22"/>
              </w:rPr>
              <w:t>KDV</w:t>
            </w:r>
          </w:p>
        </w:tc>
        <w:tc>
          <w:tcPr>
            <w:tcW w:w="345" w:type="dxa"/>
            <w:vMerge/>
            <w:textDirection w:val="btLr"/>
          </w:tcPr>
          <w:p w:rsidR="0047173C" w:rsidRPr="00C479F2" w:rsidRDefault="0047173C" w:rsidP="00C479F2">
            <w:pPr>
              <w:ind w:left="113" w:right="113"/>
              <w:rPr>
                <w:sz w:val="22"/>
                <w:szCs w:val="22"/>
              </w:rPr>
            </w:pPr>
          </w:p>
        </w:tc>
        <w:tc>
          <w:tcPr>
            <w:tcW w:w="1022" w:type="dxa"/>
            <w:textDirection w:val="btLr"/>
          </w:tcPr>
          <w:p w:rsidR="0047173C" w:rsidRPr="00C479F2" w:rsidRDefault="0047173C" w:rsidP="00C479F2">
            <w:pPr>
              <w:ind w:left="113" w:right="113"/>
              <w:rPr>
                <w:sz w:val="22"/>
                <w:szCs w:val="22"/>
              </w:rPr>
            </w:pPr>
          </w:p>
        </w:tc>
        <w:tc>
          <w:tcPr>
            <w:tcW w:w="544" w:type="dxa"/>
            <w:textDirection w:val="btLr"/>
          </w:tcPr>
          <w:p w:rsidR="0047173C" w:rsidRPr="00C479F2" w:rsidRDefault="0047173C" w:rsidP="00C479F2">
            <w:pPr>
              <w:ind w:left="113" w:right="113"/>
              <w:rPr>
                <w:sz w:val="20"/>
                <w:szCs w:val="20"/>
              </w:rPr>
            </w:pPr>
          </w:p>
        </w:tc>
        <w:tc>
          <w:tcPr>
            <w:tcW w:w="419" w:type="dxa"/>
            <w:vMerge/>
            <w:textDirection w:val="btLr"/>
          </w:tcPr>
          <w:p w:rsidR="0047173C" w:rsidRPr="00C479F2" w:rsidRDefault="0047173C" w:rsidP="00C479F2">
            <w:pPr>
              <w:ind w:left="113" w:right="113"/>
              <w:rPr>
                <w:sz w:val="22"/>
                <w:szCs w:val="22"/>
              </w:rPr>
            </w:pPr>
          </w:p>
        </w:tc>
        <w:tc>
          <w:tcPr>
            <w:tcW w:w="673" w:type="dxa"/>
            <w:textDirection w:val="btLr"/>
          </w:tcPr>
          <w:p w:rsidR="0047173C" w:rsidRPr="00C479F2" w:rsidRDefault="0047173C" w:rsidP="00C479F2">
            <w:pPr>
              <w:ind w:left="113" w:right="113"/>
              <w:rPr>
                <w:sz w:val="22"/>
                <w:szCs w:val="22"/>
              </w:rPr>
            </w:pPr>
          </w:p>
        </w:tc>
        <w:tc>
          <w:tcPr>
            <w:tcW w:w="546" w:type="dxa"/>
            <w:textDirection w:val="btLr"/>
          </w:tcPr>
          <w:p w:rsidR="0047173C" w:rsidRPr="00C479F2" w:rsidRDefault="0047173C" w:rsidP="00C479F2">
            <w:pPr>
              <w:ind w:left="113" w:right="113"/>
              <w:rPr>
                <w:sz w:val="22"/>
                <w:szCs w:val="22"/>
              </w:rPr>
            </w:pPr>
          </w:p>
        </w:tc>
        <w:tc>
          <w:tcPr>
            <w:tcW w:w="544" w:type="dxa"/>
            <w:textDirection w:val="btLr"/>
          </w:tcPr>
          <w:p w:rsidR="0047173C" w:rsidRPr="00C479F2" w:rsidRDefault="0047173C" w:rsidP="00C479F2">
            <w:pPr>
              <w:ind w:left="113" w:right="113"/>
              <w:rPr>
                <w:sz w:val="20"/>
                <w:szCs w:val="20"/>
              </w:rPr>
            </w:pPr>
          </w:p>
        </w:tc>
        <w:tc>
          <w:tcPr>
            <w:tcW w:w="546" w:type="dxa"/>
            <w:textDirection w:val="btLr"/>
          </w:tcPr>
          <w:p w:rsidR="0047173C" w:rsidRPr="00C479F2" w:rsidRDefault="0047173C" w:rsidP="00C479F2">
            <w:pPr>
              <w:ind w:left="113" w:right="113"/>
              <w:rPr>
                <w:sz w:val="22"/>
                <w:szCs w:val="22"/>
              </w:rPr>
            </w:pPr>
          </w:p>
        </w:tc>
        <w:tc>
          <w:tcPr>
            <w:tcW w:w="546" w:type="dxa"/>
            <w:textDirection w:val="btLr"/>
          </w:tcPr>
          <w:p w:rsidR="0047173C" w:rsidRPr="00C479F2" w:rsidRDefault="0047173C" w:rsidP="00C479F2">
            <w:pPr>
              <w:ind w:left="113" w:right="113"/>
              <w:rPr>
                <w:sz w:val="22"/>
                <w:szCs w:val="22"/>
              </w:rPr>
            </w:pPr>
          </w:p>
        </w:tc>
        <w:tc>
          <w:tcPr>
            <w:tcW w:w="573" w:type="dxa"/>
            <w:textDirection w:val="btLr"/>
          </w:tcPr>
          <w:p w:rsidR="0047173C" w:rsidRPr="00C479F2" w:rsidRDefault="0047173C" w:rsidP="00C479F2">
            <w:pPr>
              <w:ind w:left="113" w:right="113"/>
              <w:rPr>
                <w:sz w:val="22"/>
                <w:szCs w:val="22"/>
              </w:rPr>
            </w:pPr>
          </w:p>
        </w:tc>
      </w:tr>
      <w:tr w:rsidR="0047173C" w:rsidTr="00C479F2">
        <w:trPr>
          <w:cantSplit/>
          <w:trHeight w:val="965"/>
        </w:trPr>
        <w:tc>
          <w:tcPr>
            <w:tcW w:w="809" w:type="dxa"/>
            <w:textDirection w:val="btLr"/>
          </w:tcPr>
          <w:p w:rsidR="0047173C" w:rsidRPr="00C479F2" w:rsidRDefault="0047173C" w:rsidP="00C479F2">
            <w:pPr>
              <w:ind w:left="113" w:right="113"/>
              <w:rPr>
                <w:b/>
                <w:sz w:val="20"/>
                <w:szCs w:val="20"/>
              </w:rPr>
            </w:pPr>
            <w:r w:rsidRPr="00C479F2">
              <w:rPr>
                <w:b/>
                <w:sz w:val="20"/>
                <w:szCs w:val="20"/>
              </w:rPr>
              <w:t xml:space="preserve">Royalti </w:t>
            </w:r>
          </w:p>
          <w:p w:rsidR="0047173C" w:rsidRPr="00C479F2" w:rsidRDefault="0047173C" w:rsidP="00C479F2">
            <w:pPr>
              <w:ind w:left="113" w:right="113"/>
              <w:rPr>
                <w:b/>
                <w:sz w:val="20"/>
                <w:szCs w:val="20"/>
              </w:rPr>
            </w:pPr>
            <w:r w:rsidRPr="00C479F2">
              <w:rPr>
                <w:b/>
                <w:sz w:val="20"/>
                <w:szCs w:val="20"/>
              </w:rPr>
              <w:t>Tutarı</w:t>
            </w:r>
          </w:p>
          <w:p w:rsidR="0047173C" w:rsidRPr="00C479F2" w:rsidRDefault="0047173C" w:rsidP="00C479F2">
            <w:pPr>
              <w:ind w:left="113" w:right="113"/>
              <w:rPr>
                <w:b/>
                <w:sz w:val="20"/>
                <w:szCs w:val="20"/>
              </w:rPr>
            </w:pPr>
            <w:r w:rsidRPr="00C479F2">
              <w:rPr>
                <w:b/>
                <w:sz w:val="20"/>
                <w:szCs w:val="20"/>
              </w:rPr>
              <w:t>(TL)</w:t>
            </w:r>
          </w:p>
        </w:tc>
        <w:tc>
          <w:tcPr>
            <w:tcW w:w="1711" w:type="dxa"/>
            <w:gridSpan w:val="3"/>
            <w:textDirection w:val="btLr"/>
          </w:tcPr>
          <w:p w:rsidR="0047173C" w:rsidRPr="00C479F2" w:rsidRDefault="0047173C" w:rsidP="00C479F2">
            <w:pPr>
              <w:ind w:left="113" w:right="113"/>
              <w:rPr>
                <w:sz w:val="22"/>
                <w:szCs w:val="22"/>
              </w:rPr>
            </w:pPr>
            <w:r w:rsidRPr="00C479F2">
              <w:rPr>
                <w:sz w:val="22"/>
                <w:szCs w:val="22"/>
              </w:rPr>
              <w:t>1.500</w:t>
            </w:r>
          </w:p>
        </w:tc>
        <w:tc>
          <w:tcPr>
            <w:tcW w:w="560" w:type="dxa"/>
            <w:textDirection w:val="btLr"/>
          </w:tcPr>
          <w:p w:rsidR="0047173C" w:rsidRPr="00C479F2" w:rsidRDefault="0047173C" w:rsidP="00C479F2">
            <w:pPr>
              <w:ind w:left="113" w:right="113"/>
              <w:rPr>
                <w:sz w:val="20"/>
                <w:szCs w:val="20"/>
              </w:rPr>
            </w:pPr>
            <w:r w:rsidRPr="00C479F2">
              <w:rPr>
                <w:sz w:val="20"/>
                <w:szCs w:val="20"/>
              </w:rPr>
              <w:t>750</w:t>
            </w:r>
          </w:p>
        </w:tc>
        <w:tc>
          <w:tcPr>
            <w:tcW w:w="572" w:type="dxa"/>
            <w:textDirection w:val="btLr"/>
          </w:tcPr>
          <w:p w:rsidR="0047173C" w:rsidRPr="00C479F2" w:rsidRDefault="0047173C" w:rsidP="00C479F2">
            <w:pPr>
              <w:ind w:left="113" w:right="113"/>
              <w:rPr>
                <w:sz w:val="22"/>
                <w:szCs w:val="22"/>
              </w:rPr>
            </w:pPr>
            <w:r w:rsidRPr="00C479F2">
              <w:rPr>
                <w:sz w:val="22"/>
                <w:szCs w:val="22"/>
              </w:rPr>
              <w:t>3.000</w:t>
            </w:r>
          </w:p>
        </w:tc>
        <w:tc>
          <w:tcPr>
            <w:tcW w:w="345" w:type="dxa"/>
            <w:textDirection w:val="btLr"/>
          </w:tcPr>
          <w:p w:rsidR="0047173C" w:rsidRPr="00C479F2" w:rsidRDefault="0047173C" w:rsidP="00C479F2">
            <w:pPr>
              <w:ind w:left="113" w:right="113"/>
              <w:rPr>
                <w:b/>
                <w:sz w:val="22"/>
                <w:szCs w:val="22"/>
              </w:rPr>
            </w:pPr>
            <w:r w:rsidRPr="00C479F2">
              <w:rPr>
                <w:b/>
                <w:sz w:val="22"/>
                <w:szCs w:val="22"/>
              </w:rPr>
              <w:t>5.250</w:t>
            </w:r>
          </w:p>
        </w:tc>
        <w:tc>
          <w:tcPr>
            <w:tcW w:w="1022" w:type="dxa"/>
            <w:textDirection w:val="btLr"/>
          </w:tcPr>
          <w:p w:rsidR="0047173C" w:rsidRPr="00C479F2" w:rsidRDefault="0047173C" w:rsidP="00C479F2">
            <w:pPr>
              <w:ind w:left="113" w:right="113"/>
              <w:rPr>
                <w:sz w:val="22"/>
                <w:szCs w:val="22"/>
              </w:rPr>
            </w:pPr>
          </w:p>
        </w:tc>
        <w:tc>
          <w:tcPr>
            <w:tcW w:w="544" w:type="dxa"/>
            <w:textDirection w:val="btLr"/>
          </w:tcPr>
          <w:p w:rsidR="0047173C" w:rsidRPr="00C479F2" w:rsidRDefault="0047173C" w:rsidP="00C479F2">
            <w:pPr>
              <w:ind w:left="113" w:right="113"/>
              <w:rPr>
                <w:sz w:val="20"/>
                <w:szCs w:val="20"/>
              </w:rPr>
            </w:pPr>
          </w:p>
        </w:tc>
        <w:tc>
          <w:tcPr>
            <w:tcW w:w="419" w:type="dxa"/>
            <w:textDirection w:val="btLr"/>
          </w:tcPr>
          <w:p w:rsidR="0047173C" w:rsidRPr="00C479F2" w:rsidRDefault="0047173C" w:rsidP="00C479F2">
            <w:pPr>
              <w:ind w:left="113" w:right="113"/>
              <w:rPr>
                <w:b/>
                <w:sz w:val="22"/>
                <w:szCs w:val="22"/>
              </w:rPr>
            </w:pPr>
            <w:r w:rsidRPr="00C479F2">
              <w:rPr>
                <w:b/>
                <w:sz w:val="22"/>
                <w:szCs w:val="22"/>
              </w:rPr>
              <w:t>…</w:t>
            </w:r>
          </w:p>
        </w:tc>
        <w:tc>
          <w:tcPr>
            <w:tcW w:w="673" w:type="dxa"/>
            <w:textDirection w:val="btLr"/>
          </w:tcPr>
          <w:p w:rsidR="0047173C" w:rsidRPr="00C479F2" w:rsidRDefault="0047173C" w:rsidP="00C479F2">
            <w:pPr>
              <w:ind w:left="113" w:right="113"/>
              <w:rPr>
                <w:sz w:val="22"/>
                <w:szCs w:val="22"/>
              </w:rPr>
            </w:pPr>
          </w:p>
        </w:tc>
        <w:tc>
          <w:tcPr>
            <w:tcW w:w="546" w:type="dxa"/>
            <w:textDirection w:val="btLr"/>
          </w:tcPr>
          <w:p w:rsidR="0047173C" w:rsidRPr="00C479F2" w:rsidRDefault="0047173C" w:rsidP="00C479F2">
            <w:pPr>
              <w:ind w:left="113" w:right="113"/>
              <w:rPr>
                <w:sz w:val="22"/>
                <w:szCs w:val="22"/>
              </w:rPr>
            </w:pPr>
          </w:p>
        </w:tc>
        <w:tc>
          <w:tcPr>
            <w:tcW w:w="544" w:type="dxa"/>
            <w:textDirection w:val="btLr"/>
          </w:tcPr>
          <w:p w:rsidR="0047173C" w:rsidRPr="00C479F2" w:rsidRDefault="0047173C" w:rsidP="00C479F2">
            <w:pPr>
              <w:ind w:left="113" w:right="113"/>
              <w:rPr>
                <w:sz w:val="20"/>
                <w:szCs w:val="20"/>
              </w:rPr>
            </w:pPr>
          </w:p>
        </w:tc>
        <w:tc>
          <w:tcPr>
            <w:tcW w:w="546" w:type="dxa"/>
            <w:textDirection w:val="btLr"/>
          </w:tcPr>
          <w:p w:rsidR="0047173C" w:rsidRPr="00C479F2" w:rsidRDefault="0047173C" w:rsidP="00C479F2">
            <w:pPr>
              <w:ind w:left="113" w:right="113"/>
              <w:rPr>
                <w:sz w:val="22"/>
                <w:szCs w:val="22"/>
              </w:rPr>
            </w:pPr>
          </w:p>
        </w:tc>
        <w:tc>
          <w:tcPr>
            <w:tcW w:w="546" w:type="dxa"/>
            <w:textDirection w:val="btLr"/>
          </w:tcPr>
          <w:p w:rsidR="0047173C" w:rsidRPr="00C479F2" w:rsidRDefault="0047173C" w:rsidP="00C479F2">
            <w:pPr>
              <w:ind w:left="113" w:right="113"/>
              <w:rPr>
                <w:sz w:val="22"/>
                <w:szCs w:val="22"/>
              </w:rPr>
            </w:pPr>
          </w:p>
        </w:tc>
        <w:tc>
          <w:tcPr>
            <w:tcW w:w="573" w:type="dxa"/>
            <w:textDirection w:val="btLr"/>
          </w:tcPr>
          <w:p w:rsidR="0047173C" w:rsidRPr="00C479F2" w:rsidRDefault="0047173C" w:rsidP="00C479F2">
            <w:pPr>
              <w:ind w:left="113" w:right="113"/>
              <w:rPr>
                <w:b/>
                <w:sz w:val="22"/>
                <w:szCs w:val="22"/>
              </w:rPr>
            </w:pPr>
            <w:r w:rsidRPr="00C479F2">
              <w:rPr>
                <w:b/>
                <w:sz w:val="22"/>
                <w:szCs w:val="22"/>
              </w:rPr>
              <w:t>…</w:t>
            </w:r>
          </w:p>
        </w:tc>
      </w:tr>
      <w:tr w:rsidR="0047173C" w:rsidTr="00C479F2">
        <w:trPr>
          <w:cantSplit/>
          <w:trHeight w:val="1482"/>
        </w:trPr>
        <w:tc>
          <w:tcPr>
            <w:tcW w:w="809" w:type="dxa"/>
            <w:textDirection w:val="btLr"/>
          </w:tcPr>
          <w:p w:rsidR="0047173C" w:rsidRPr="00C479F2" w:rsidRDefault="0047173C" w:rsidP="00C479F2">
            <w:pPr>
              <w:ind w:left="113" w:right="113"/>
              <w:rPr>
                <w:b/>
                <w:sz w:val="20"/>
                <w:szCs w:val="20"/>
              </w:rPr>
            </w:pPr>
            <w:r w:rsidRPr="00C479F2">
              <w:rPr>
                <w:b/>
                <w:sz w:val="20"/>
                <w:szCs w:val="20"/>
              </w:rPr>
              <w:t>G.T.İ.P.</w:t>
            </w:r>
          </w:p>
        </w:tc>
        <w:tc>
          <w:tcPr>
            <w:tcW w:w="1711" w:type="dxa"/>
            <w:gridSpan w:val="3"/>
            <w:textDirection w:val="btLr"/>
          </w:tcPr>
          <w:p w:rsidR="0047173C" w:rsidRPr="00C479F2" w:rsidRDefault="0047173C" w:rsidP="00C479F2">
            <w:pPr>
              <w:ind w:left="113" w:right="113"/>
              <w:rPr>
                <w:sz w:val="22"/>
                <w:szCs w:val="22"/>
              </w:rPr>
            </w:pPr>
            <w:r w:rsidRPr="00C479F2">
              <w:rPr>
                <w:sz w:val="20"/>
                <w:szCs w:val="20"/>
              </w:rPr>
              <w:t>330720000000</w:t>
            </w:r>
          </w:p>
        </w:tc>
        <w:tc>
          <w:tcPr>
            <w:tcW w:w="560" w:type="dxa"/>
            <w:textDirection w:val="btLr"/>
          </w:tcPr>
          <w:p w:rsidR="0047173C" w:rsidRPr="00C479F2" w:rsidRDefault="0047173C" w:rsidP="00C479F2">
            <w:pPr>
              <w:ind w:left="113" w:right="113"/>
              <w:rPr>
                <w:sz w:val="20"/>
                <w:szCs w:val="20"/>
              </w:rPr>
            </w:pPr>
            <w:r w:rsidRPr="00C479F2">
              <w:rPr>
                <w:sz w:val="20"/>
                <w:szCs w:val="20"/>
              </w:rPr>
              <w:t>340290900016</w:t>
            </w:r>
          </w:p>
        </w:tc>
        <w:tc>
          <w:tcPr>
            <w:tcW w:w="572" w:type="dxa"/>
            <w:textDirection w:val="btLr"/>
          </w:tcPr>
          <w:p w:rsidR="0047173C" w:rsidRPr="00C479F2" w:rsidRDefault="0047173C" w:rsidP="00C479F2">
            <w:pPr>
              <w:ind w:left="113" w:right="113"/>
              <w:rPr>
                <w:sz w:val="22"/>
                <w:szCs w:val="22"/>
              </w:rPr>
            </w:pPr>
            <w:r w:rsidRPr="00C479F2">
              <w:rPr>
                <w:sz w:val="20"/>
                <w:szCs w:val="20"/>
              </w:rPr>
              <w:t>…</w:t>
            </w:r>
          </w:p>
        </w:tc>
        <w:tc>
          <w:tcPr>
            <w:tcW w:w="345" w:type="dxa"/>
            <w:vMerge w:val="restart"/>
            <w:textDirection w:val="btLr"/>
          </w:tcPr>
          <w:p w:rsidR="0047173C" w:rsidRPr="00C479F2" w:rsidRDefault="0047173C" w:rsidP="00C479F2">
            <w:pPr>
              <w:ind w:left="113" w:right="113"/>
              <w:rPr>
                <w:sz w:val="22"/>
                <w:szCs w:val="22"/>
              </w:rPr>
            </w:pPr>
            <w:r w:rsidRPr="00C479F2">
              <w:rPr>
                <w:b/>
                <w:sz w:val="22"/>
                <w:szCs w:val="22"/>
              </w:rPr>
              <w:t xml:space="preserve">                     ARA TOPLAM</w:t>
            </w:r>
          </w:p>
        </w:tc>
        <w:tc>
          <w:tcPr>
            <w:tcW w:w="1022" w:type="dxa"/>
            <w:textDirection w:val="btLr"/>
          </w:tcPr>
          <w:p w:rsidR="0047173C" w:rsidRPr="00C479F2" w:rsidRDefault="0047173C" w:rsidP="00C479F2">
            <w:pPr>
              <w:ind w:left="113" w:right="113"/>
              <w:rPr>
                <w:sz w:val="22"/>
                <w:szCs w:val="22"/>
              </w:rPr>
            </w:pPr>
          </w:p>
        </w:tc>
        <w:tc>
          <w:tcPr>
            <w:tcW w:w="544" w:type="dxa"/>
            <w:textDirection w:val="btLr"/>
          </w:tcPr>
          <w:p w:rsidR="0047173C" w:rsidRPr="00C479F2" w:rsidRDefault="0047173C" w:rsidP="00C479F2">
            <w:pPr>
              <w:ind w:left="113" w:right="113"/>
              <w:rPr>
                <w:sz w:val="20"/>
                <w:szCs w:val="20"/>
              </w:rPr>
            </w:pPr>
          </w:p>
        </w:tc>
        <w:tc>
          <w:tcPr>
            <w:tcW w:w="419" w:type="dxa"/>
            <w:vMerge w:val="restart"/>
            <w:textDirection w:val="btLr"/>
          </w:tcPr>
          <w:p w:rsidR="0047173C" w:rsidRPr="00C479F2" w:rsidRDefault="0047173C" w:rsidP="00C479F2">
            <w:pPr>
              <w:ind w:left="113" w:right="113"/>
              <w:rPr>
                <w:sz w:val="22"/>
                <w:szCs w:val="22"/>
              </w:rPr>
            </w:pPr>
            <w:r w:rsidRPr="00C479F2">
              <w:rPr>
                <w:b/>
                <w:sz w:val="22"/>
                <w:szCs w:val="22"/>
              </w:rPr>
              <w:t xml:space="preserve">                    ARA TOPLAM</w:t>
            </w:r>
          </w:p>
        </w:tc>
        <w:tc>
          <w:tcPr>
            <w:tcW w:w="673" w:type="dxa"/>
            <w:textDirection w:val="btLr"/>
          </w:tcPr>
          <w:p w:rsidR="0047173C" w:rsidRPr="00C479F2" w:rsidRDefault="0047173C" w:rsidP="00C479F2">
            <w:pPr>
              <w:ind w:left="113" w:right="113"/>
              <w:rPr>
                <w:sz w:val="22"/>
                <w:szCs w:val="22"/>
              </w:rPr>
            </w:pPr>
          </w:p>
        </w:tc>
        <w:tc>
          <w:tcPr>
            <w:tcW w:w="546" w:type="dxa"/>
            <w:textDirection w:val="btLr"/>
          </w:tcPr>
          <w:p w:rsidR="0047173C" w:rsidRPr="00C479F2" w:rsidRDefault="0047173C" w:rsidP="00C479F2">
            <w:pPr>
              <w:ind w:left="113" w:right="113"/>
              <w:rPr>
                <w:sz w:val="22"/>
                <w:szCs w:val="22"/>
              </w:rPr>
            </w:pPr>
          </w:p>
        </w:tc>
        <w:tc>
          <w:tcPr>
            <w:tcW w:w="544" w:type="dxa"/>
            <w:textDirection w:val="btLr"/>
          </w:tcPr>
          <w:p w:rsidR="0047173C" w:rsidRPr="00C479F2" w:rsidRDefault="0047173C" w:rsidP="00C479F2">
            <w:pPr>
              <w:ind w:left="113" w:right="113"/>
              <w:rPr>
                <w:sz w:val="20"/>
                <w:szCs w:val="20"/>
              </w:rPr>
            </w:pPr>
          </w:p>
        </w:tc>
        <w:tc>
          <w:tcPr>
            <w:tcW w:w="546" w:type="dxa"/>
            <w:textDirection w:val="btLr"/>
          </w:tcPr>
          <w:p w:rsidR="0047173C" w:rsidRPr="00C479F2" w:rsidRDefault="0047173C" w:rsidP="00C479F2">
            <w:pPr>
              <w:ind w:left="113" w:right="113"/>
              <w:rPr>
                <w:sz w:val="22"/>
                <w:szCs w:val="22"/>
              </w:rPr>
            </w:pPr>
          </w:p>
        </w:tc>
        <w:tc>
          <w:tcPr>
            <w:tcW w:w="546" w:type="dxa"/>
            <w:textDirection w:val="btLr"/>
          </w:tcPr>
          <w:p w:rsidR="0047173C" w:rsidRPr="00C479F2" w:rsidRDefault="0047173C" w:rsidP="00C479F2">
            <w:pPr>
              <w:ind w:left="113" w:right="113"/>
              <w:rPr>
                <w:sz w:val="22"/>
                <w:szCs w:val="22"/>
              </w:rPr>
            </w:pPr>
          </w:p>
        </w:tc>
        <w:tc>
          <w:tcPr>
            <w:tcW w:w="573" w:type="dxa"/>
            <w:textDirection w:val="btLr"/>
          </w:tcPr>
          <w:p w:rsidR="0047173C" w:rsidRPr="00C479F2" w:rsidRDefault="0047173C" w:rsidP="00C479F2">
            <w:pPr>
              <w:ind w:left="113" w:right="113"/>
              <w:rPr>
                <w:b/>
                <w:sz w:val="22"/>
                <w:szCs w:val="22"/>
              </w:rPr>
            </w:pPr>
            <w:r w:rsidRPr="00C479F2">
              <w:rPr>
                <w:b/>
                <w:sz w:val="22"/>
                <w:szCs w:val="22"/>
              </w:rPr>
              <w:t xml:space="preserve">TOPLAM </w:t>
            </w:r>
          </w:p>
          <w:p w:rsidR="0047173C" w:rsidRPr="00C479F2" w:rsidRDefault="0047173C" w:rsidP="00C479F2">
            <w:pPr>
              <w:ind w:left="113" w:right="113"/>
              <w:rPr>
                <w:sz w:val="22"/>
                <w:szCs w:val="22"/>
              </w:rPr>
            </w:pPr>
            <w:r w:rsidRPr="00C479F2">
              <w:rPr>
                <w:b/>
                <w:sz w:val="22"/>
                <w:szCs w:val="22"/>
              </w:rPr>
              <w:t>ROYALTİ =</w:t>
            </w:r>
          </w:p>
        </w:tc>
      </w:tr>
      <w:tr w:rsidR="0047173C" w:rsidTr="00C479F2">
        <w:trPr>
          <w:cantSplit/>
          <w:trHeight w:val="841"/>
        </w:trPr>
        <w:tc>
          <w:tcPr>
            <w:tcW w:w="809" w:type="dxa"/>
            <w:textDirection w:val="btLr"/>
          </w:tcPr>
          <w:p w:rsidR="0047173C" w:rsidRPr="00C479F2" w:rsidRDefault="0047173C" w:rsidP="00C479F2">
            <w:pPr>
              <w:ind w:left="113" w:right="113"/>
              <w:rPr>
                <w:b/>
                <w:sz w:val="20"/>
                <w:szCs w:val="20"/>
              </w:rPr>
            </w:pPr>
            <w:r w:rsidRPr="00C479F2">
              <w:rPr>
                <w:b/>
                <w:sz w:val="20"/>
                <w:szCs w:val="20"/>
              </w:rPr>
              <w:t>Kalem</w:t>
            </w:r>
          </w:p>
        </w:tc>
        <w:tc>
          <w:tcPr>
            <w:tcW w:w="1711" w:type="dxa"/>
            <w:gridSpan w:val="3"/>
            <w:textDirection w:val="btLr"/>
          </w:tcPr>
          <w:p w:rsidR="0047173C" w:rsidRPr="00C479F2" w:rsidRDefault="0047173C" w:rsidP="00C479F2">
            <w:pPr>
              <w:ind w:left="113" w:right="113"/>
              <w:rPr>
                <w:sz w:val="20"/>
                <w:szCs w:val="20"/>
              </w:rPr>
            </w:pPr>
            <w:r w:rsidRPr="00C479F2">
              <w:rPr>
                <w:sz w:val="20"/>
                <w:szCs w:val="20"/>
              </w:rPr>
              <w:t>1</w:t>
            </w:r>
          </w:p>
        </w:tc>
        <w:tc>
          <w:tcPr>
            <w:tcW w:w="560" w:type="dxa"/>
            <w:textDirection w:val="btLr"/>
          </w:tcPr>
          <w:p w:rsidR="0047173C" w:rsidRPr="00C479F2" w:rsidRDefault="0047173C" w:rsidP="00C479F2">
            <w:pPr>
              <w:ind w:left="113" w:right="113"/>
              <w:rPr>
                <w:sz w:val="20"/>
                <w:szCs w:val="20"/>
              </w:rPr>
            </w:pPr>
            <w:r w:rsidRPr="00C479F2">
              <w:rPr>
                <w:sz w:val="20"/>
                <w:szCs w:val="20"/>
              </w:rPr>
              <w:t>2</w:t>
            </w:r>
          </w:p>
        </w:tc>
        <w:tc>
          <w:tcPr>
            <w:tcW w:w="572" w:type="dxa"/>
            <w:textDirection w:val="btLr"/>
          </w:tcPr>
          <w:p w:rsidR="0047173C" w:rsidRPr="00C479F2" w:rsidRDefault="0047173C" w:rsidP="00C479F2">
            <w:pPr>
              <w:ind w:left="113" w:right="113"/>
              <w:rPr>
                <w:sz w:val="22"/>
                <w:szCs w:val="22"/>
              </w:rPr>
            </w:pPr>
            <w:r w:rsidRPr="00C479F2">
              <w:rPr>
                <w:sz w:val="22"/>
                <w:szCs w:val="22"/>
              </w:rPr>
              <w:t>1</w:t>
            </w:r>
          </w:p>
        </w:tc>
        <w:tc>
          <w:tcPr>
            <w:tcW w:w="345" w:type="dxa"/>
            <w:vMerge/>
            <w:textDirection w:val="btLr"/>
          </w:tcPr>
          <w:p w:rsidR="0047173C" w:rsidRPr="00C479F2" w:rsidRDefault="0047173C" w:rsidP="00C479F2">
            <w:pPr>
              <w:ind w:left="113" w:right="113"/>
              <w:rPr>
                <w:sz w:val="22"/>
                <w:szCs w:val="22"/>
              </w:rPr>
            </w:pPr>
          </w:p>
        </w:tc>
        <w:tc>
          <w:tcPr>
            <w:tcW w:w="1022" w:type="dxa"/>
            <w:textDirection w:val="btLr"/>
          </w:tcPr>
          <w:p w:rsidR="0047173C" w:rsidRPr="00C479F2" w:rsidRDefault="0047173C" w:rsidP="00C479F2">
            <w:pPr>
              <w:ind w:left="113" w:right="113"/>
              <w:rPr>
                <w:sz w:val="22"/>
                <w:szCs w:val="22"/>
              </w:rPr>
            </w:pPr>
          </w:p>
        </w:tc>
        <w:tc>
          <w:tcPr>
            <w:tcW w:w="544" w:type="dxa"/>
            <w:textDirection w:val="btLr"/>
          </w:tcPr>
          <w:p w:rsidR="0047173C" w:rsidRPr="00C479F2" w:rsidRDefault="0047173C" w:rsidP="00C479F2">
            <w:pPr>
              <w:ind w:left="113" w:right="113"/>
              <w:rPr>
                <w:sz w:val="20"/>
                <w:szCs w:val="20"/>
              </w:rPr>
            </w:pPr>
          </w:p>
        </w:tc>
        <w:tc>
          <w:tcPr>
            <w:tcW w:w="419" w:type="dxa"/>
            <w:vMerge/>
            <w:textDirection w:val="btLr"/>
          </w:tcPr>
          <w:p w:rsidR="0047173C" w:rsidRPr="00C479F2" w:rsidRDefault="0047173C" w:rsidP="00C479F2">
            <w:pPr>
              <w:ind w:left="113" w:right="113"/>
              <w:rPr>
                <w:sz w:val="22"/>
                <w:szCs w:val="22"/>
              </w:rPr>
            </w:pPr>
          </w:p>
        </w:tc>
        <w:tc>
          <w:tcPr>
            <w:tcW w:w="673" w:type="dxa"/>
            <w:textDirection w:val="btLr"/>
          </w:tcPr>
          <w:p w:rsidR="0047173C" w:rsidRPr="00C479F2" w:rsidRDefault="0047173C" w:rsidP="00C479F2">
            <w:pPr>
              <w:ind w:left="113" w:right="113"/>
              <w:rPr>
                <w:sz w:val="22"/>
                <w:szCs w:val="22"/>
              </w:rPr>
            </w:pPr>
          </w:p>
        </w:tc>
        <w:tc>
          <w:tcPr>
            <w:tcW w:w="546" w:type="dxa"/>
            <w:textDirection w:val="btLr"/>
          </w:tcPr>
          <w:p w:rsidR="0047173C" w:rsidRPr="00C479F2" w:rsidRDefault="0047173C" w:rsidP="00C479F2">
            <w:pPr>
              <w:ind w:left="113" w:right="113"/>
              <w:rPr>
                <w:sz w:val="22"/>
                <w:szCs w:val="22"/>
              </w:rPr>
            </w:pPr>
          </w:p>
        </w:tc>
        <w:tc>
          <w:tcPr>
            <w:tcW w:w="544" w:type="dxa"/>
            <w:textDirection w:val="btLr"/>
          </w:tcPr>
          <w:p w:rsidR="0047173C" w:rsidRPr="00C479F2" w:rsidRDefault="0047173C" w:rsidP="00C479F2">
            <w:pPr>
              <w:ind w:left="113" w:right="113"/>
              <w:rPr>
                <w:sz w:val="20"/>
                <w:szCs w:val="20"/>
              </w:rPr>
            </w:pPr>
          </w:p>
        </w:tc>
        <w:tc>
          <w:tcPr>
            <w:tcW w:w="546" w:type="dxa"/>
            <w:textDirection w:val="btLr"/>
          </w:tcPr>
          <w:p w:rsidR="0047173C" w:rsidRPr="00C479F2" w:rsidRDefault="0047173C" w:rsidP="00C479F2">
            <w:pPr>
              <w:ind w:left="113" w:right="113"/>
              <w:rPr>
                <w:sz w:val="22"/>
                <w:szCs w:val="22"/>
              </w:rPr>
            </w:pPr>
          </w:p>
        </w:tc>
        <w:tc>
          <w:tcPr>
            <w:tcW w:w="546" w:type="dxa"/>
            <w:textDirection w:val="btLr"/>
          </w:tcPr>
          <w:p w:rsidR="0047173C" w:rsidRPr="00C479F2" w:rsidRDefault="0047173C" w:rsidP="00C479F2">
            <w:pPr>
              <w:ind w:left="113" w:right="113"/>
              <w:rPr>
                <w:sz w:val="22"/>
                <w:szCs w:val="22"/>
              </w:rPr>
            </w:pPr>
          </w:p>
        </w:tc>
        <w:tc>
          <w:tcPr>
            <w:tcW w:w="573" w:type="dxa"/>
            <w:textDirection w:val="btLr"/>
          </w:tcPr>
          <w:p w:rsidR="0047173C" w:rsidRPr="00C479F2" w:rsidRDefault="0047173C" w:rsidP="00C479F2">
            <w:pPr>
              <w:ind w:left="113" w:right="113"/>
              <w:rPr>
                <w:b/>
                <w:sz w:val="22"/>
                <w:szCs w:val="22"/>
              </w:rPr>
            </w:pPr>
          </w:p>
        </w:tc>
      </w:tr>
      <w:tr w:rsidR="0047173C" w:rsidTr="00C479F2">
        <w:trPr>
          <w:cantSplit/>
          <w:trHeight w:val="973"/>
        </w:trPr>
        <w:tc>
          <w:tcPr>
            <w:tcW w:w="809" w:type="dxa"/>
            <w:textDirection w:val="btLr"/>
          </w:tcPr>
          <w:p w:rsidR="0047173C" w:rsidRPr="00C479F2" w:rsidRDefault="0047173C" w:rsidP="00C479F2">
            <w:pPr>
              <w:ind w:left="113" w:right="113"/>
              <w:rPr>
                <w:b/>
                <w:sz w:val="20"/>
                <w:szCs w:val="20"/>
              </w:rPr>
            </w:pPr>
            <w:r w:rsidRPr="00C479F2">
              <w:rPr>
                <w:b/>
                <w:sz w:val="20"/>
                <w:szCs w:val="20"/>
              </w:rPr>
              <w:t>TCGB Tarih/</w:t>
            </w:r>
          </w:p>
          <w:p w:rsidR="0047173C" w:rsidRPr="00C479F2" w:rsidRDefault="0047173C" w:rsidP="00C479F2">
            <w:pPr>
              <w:ind w:left="113" w:right="113"/>
              <w:rPr>
                <w:b/>
                <w:sz w:val="20"/>
                <w:szCs w:val="20"/>
              </w:rPr>
            </w:pPr>
            <w:r w:rsidRPr="00C479F2">
              <w:rPr>
                <w:b/>
                <w:sz w:val="20"/>
                <w:szCs w:val="20"/>
              </w:rPr>
              <w:t>Sayısı</w:t>
            </w:r>
          </w:p>
        </w:tc>
        <w:tc>
          <w:tcPr>
            <w:tcW w:w="2271" w:type="dxa"/>
            <w:gridSpan w:val="4"/>
            <w:textDirection w:val="btLr"/>
          </w:tcPr>
          <w:p w:rsidR="0047173C" w:rsidRPr="00C479F2" w:rsidRDefault="0047173C" w:rsidP="004F0A77">
            <w:pPr>
              <w:rPr>
                <w:rFonts w:ascii="Calibri" w:hAnsi="Calibri"/>
                <w:sz w:val="20"/>
                <w:szCs w:val="20"/>
              </w:rPr>
            </w:pPr>
          </w:p>
          <w:p w:rsidR="0047173C" w:rsidRPr="00C479F2" w:rsidRDefault="0047173C" w:rsidP="004F0A77">
            <w:pPr>
              <w:rPr>
                <w:rFonts w:ascii="Calibri" w:hAnsi="Calibri"/>
                <w:sz w:val="20"/>
                <w:szCs w:val="20"/>
              </w:rPr>
            </w:pPr>
          </w:p>
          <w:p w:rsidR="0047173C" w:rsidRPr="00C479F2" w:rsidRDefault="0047173C" w:rsidP="004F0A77">
            <w:pPr>
              <w:rPr>
                <w:rFonts w:ascii="Calibri" w:hAnsi="Calibri"/>
                <w:sz w:val="20"/>
                <w:szCs w:val="20"/>
              </w:rPr>
            </w:pPr>
          </w:p>
          <w:p w:rsidR="0047173C" w:rsidRPr="00C479F2" w:rsidRDefault="0047173C" w:rsidP="004F0A77">
            <w:pPr>
              <w:rPr>
                <w:rFonts w:ascii="Calibri" w:hAnsi="Calibri"/>
                <w:sz w:val="20"/>
                <w:szCs w:val="20"/>
              </w:rPr>
            </w:pPr>
          </w:p>
          <w:p w:rsidR="0047173C" w:rsidRPr="00C479F2" w:rsidRDefault="0047173C" w:rsidP="004F0A77">
            <w:pPr>
              <w:rPr>
                <w:rFonts w:ascii="Calibri" w:hAnsi="Calibri"/>
                <w:sz w:val="20"/>
                <w:szCs w:val="20"/>
              </w:rPr>
            </w:pPr>
            <w:r w:rsidRPr="00C479F2">
              <w:rPr>
                <w:rFonts w:ascii="Calibri" w:hAnsi="Calibri"/>
                <w:sz w:val="20"/>
                <w:szCs w:val="20"/>
              </w:rPr>
              <w:t>01.01.2013/1234</w:t>
            </w:r>
          </w:p>
          <w:p w:rsidR="0047173C" w:rsidRPr="00C479F2" w:rsidRDefault="0047173C" w:rsidP="004F0A77">
            <w:pPr>
              <w:rPr>
                <w:sz w:val="20"/>
                <w:szCs w:val="20"/>
              </w:rPr>
            </w:pPr>
          </w:p>
        </w:tc>
        <w:tc>
          <w:tcPr>
            <w:tcW w:w="572" w:type="dxa"/>
            <w:textDirection w:val="btLr"/>
          </w:tcPr>
          <w:p w:rsidR="0047173C" w:rsidRPr="00C479F2" w:rsidRDefault="0047173C" w:rsidP="004F0A77">
            <w:pPr>
              <w:rPr>
                <w:rFonts w:ascii="Calibri" w:hAnsi="Calibri"/>
                <w:sz w:val="20"/>
                <w:szCs w:val="20"/>
              </w:rPr>
            </w:pPr>
            <w:r w:rsidRPr="00C479F2">
              <w:rPr>
                <w:rFonts w:ascii="Calibri" w:hAnsi="Calibri"/>
                <w:sz w:val="20"/>
                <w:szCs w:val="20"/>
              </w:rPr>
              <w:t>04.04.2013/4321</w:t>
            </w:r>
          </w:p>
          <w:p w:rsidR="0047173C" w:rsidRPr="00C479F2" w:rsidRDefault="0047173C" w:rsidP="00C479F2">
            <w:pPr>
              <w:ind w:left="113" w:right="113"/>
              <w:rPr>
                <w:sz w:val="22"/>
                <w:szCs w:val="22"/>
              </w:rPr>
            </w:pPr>
          </w:p>
        </w:tc>
        <w:tc>
          <w:tcPr>
            <w:tcW w:w="345" w:type="dxa"/>
            <w:vMerge/>
            <w:textDirection w:val="btLr"/>
          </w:tcPr>
          <w:p w:rsidR="0047173C" w:rsidRPr="00C479F2" w:rsidRDefault="0047173C" w:rsidP="00C479F2">
            <w:pPr>
              <w:ind w:left="113" w:right="113"/>
              <w:rPr>
                <w:sz w:val="22"/>
                <w:szCs w:val="22"/>
              </w:rPr>
            </w:pPr>
          </w:p>
        </w:tc>
        <w:tc>
          <w:tcPr>
            <w:tcW w:w="1022" w:type="dxa"/>
            <w:textDirection w:val="btLr"/>
          </w:tcPr>
          <w:p w:rsidR="0047173C" w:rsidRPr="00C479F2" w:rsidRDefault="0047173C" w:rsidP="00C479F2">
            <w:pPr>
              <w:ind w:left="113" w:right="113"/>
              <w:rPr>
                <w:sz w:val="22"/>
                <w:szCs w:val="22"/>
              </w:rPr>
            </w:pPr>
          </w:p>
        </w:tc>
        <w:tc>
          <w:tcPr>
            <w:tcW w:w="544" w:type="dxa"/>
            <w:textDirection w:val="btLr"/>
          </w:tcPr>
          <w:p w:rsidR="0047173C" w:rsidRPr="00C479F2" w:rsidRDefault="0047173C" w:rsidP="00C479F2">
            <w:pPr>
              <w:ind w:left="113" w:right="113"/>
              <w:rPr>
                <w:sz w:val="20"/>
                <w:szCs w:val="20"/>
              </w:rPr>
            </w:pPr>
          </w:p>
        </w:tc>
        <w:tc>
          <w:tcPr>
            <w:tcW w:w="419" w:type="dxa"/>
            <w:vMerge/>
            <w:textDirection w:val="btLr"/>
          </w:tcPr>
          <w:p w:rsidR="0047173C" w:rsidRPr="00C479F2" w:rsidRDefault="0047173C" w:rsidP="00C479F2">
            <w:pPr>
              <w:ind w:left="113" w:right="113"/>
              <w:rPr>
                <w:sz w:val="22"/>
                <w:szCs w:val="22"/>
              </w:rPr>
            </w:pPr>
          </w:p>
        </w:tc>
        <w:tc>
          <w:tcPr>
            <w:tcW w:w="673" w:type="dxa"/>
            <w:textDirection w:val="btLr"/>
          </w:tcPr>
          <w:p w:rsidR="0047173C" w:rsidRPr="00C479F2" w:rsidRDefault="0047173C" w:rsidP="00C479F2">
            <w:pPr>
              <w:ind w:left="113" w:right="113"/>
              <w:rPr>
                <w:sz w:val="22"/>
                <w:szCs w:val="22"/>
              </w:rPr>
            </w:pPr>
          </w:p>
        </w:tc>
        <w:tc>
          <w:tcPr>
            <w:tcW w:w="546" w:type="dxa"/>
            <w:textDirection w:val="btLr"/>
          </w:tcPr>
          <w:p w:rsidR="0047173C" w:rsidRPr="00C479F2" w:rsidRDefault="0047173C" w:rsidP="00C479F2">
            <w:pPr>
              <w:ind w:left="113" w:right="113"/>
              <w:rPr>
                <w:sz w:val="22"/>
                <w:szCs w:val="22"/>
              </w:rPr>
            </w:pPr>
          </w:p>
        </w:tc>
        <w:tc>
          <w:tcPr>
            <w:tcW w:w="544" w:type="dxa"/>
            <w:textDirection w:val="btLr"/>
          </w:tcPr>
          <w:p w:rsidR="0047173C" w:rsidRPr="00C479F2" w:rsidRDefault="0047173C" w:rsidP="00C479F2">
            <w:pPr>
              <w:ind w:left="113" w:right="113"/>
              <w:rPr>
                <w:sz w:val="20"/>
                <w:szCs w:val="20"/>
              </w:rPr>
            </w:pPr>
          </w:p>
        </w:tc>
        <w:tc>
          <w:tcPr>
            <w:tcW w:w="546" w:type="dxa"/>
            <w:textDirection w:val="btLr"/>
          </w:tcPr>
          <w:p w:rsidR="0047173C" w:rsidRPr="00C479F2" w:rsidRDefault="0047173C" w:rsidP="00C479F2">
            <w:pPr>
              <w:ind w:left="113" w:right="113"/>
              <w:rPr>
                <w:sz w:val="22"/>
                <w:szCs w:val="22"/>
              </w:rPr>
            </w:pPr>
          </w:p>
        </w:tc>
        <w:tc>
          <w:tcPr>
            <w:tcW w:w="546" w:type="dxa"/>
            <w:textDirection w:val="btLr"/>
          </w:tcPr>
          <w:p w:rsidR="0047173C" w:rsidRPr="00C479F2" w:rsidRDefault="0047173C" w:rsidP="00C479F2">
            <w:pPr>
              <w:ind w:left="113" w:right="113"/>
              <w:rPr>
                <w:sz w:val="22"/>
                <w:szCs w:val="22"/>
              </w:rPr>
            </w:pPr>
          </w:p>
        </w:tc>
        <w:tc>
          <w:tcPr>
            <w:tcW w:w="573" w:type="dxa"/>
            <w:textDirection w:val="btLr"/>
          </w:tcPr>
          <w:p w:rsidR="0047173C" w:rsidRPr="00C479F2" w:rsidRDefault="0047173C" w:rsidP="00C479F2">
            <w:pPr>
              <w:ind w:left="113" w:right="113"/>
              <w:rPr>
                <w:sz w:val="22"/>
                <w:szCs w:val="22"/>
              </w:rPr>
            </w:pPr>
          </w:p>
        </w:tc>
      </w:tr>
      <w:tr w:rsidR="0047173C" w:rsidTr="00C479F2">
        <w:trPr>
          <w:cantSplit/>
          <w:trHeight w:val="1274"/>
        </w:trPr>
        <w:tc>
          <w:tcPr>
            <w:tcW w:w="809" w:type="dxa"/>
            <w:textDirection w:val="btLr"/>
          </w:tcPr>
          <w:p w:rsidR="0047173C" w:rsidRPr="00C479F2" w:rsidRDefault="0047173C" w:rsidP="00C479F2">
            <w:pPr>
              <w:ind w:left="113" w:right="113"/>
              <w:rPr>
                <w:b/>
                <w:sz w:val="20"/>
                <w:szCs w:val="20"/>
              </w:rPr>
            </w:pPr>
            <w:r w:rsidRPr="00C479F2">
              <w:rPr>
                <w:b/>
                <w:sz w:val="20"/>
                <w:szCs w:val="20"/>
              </w:rPr>
              <w:t xml:space="preserve">Gümrük </w:t>
            </w:r>
          </w:p>
          <w:p w:rsidR="0047173C" w:rsidRPr="00C479F2" w:rsidRDefault="0047173C" w:rsidP="00C479F2">
            <w:pPr>
              <w:ind w:left="113" w:right="113"/>
              <w:rPr>
                <w:b/>
                <w:sz w:val="20"/>
                <w:szCs w:val="20"/>
              </w:rPr>
            </w:pPr>
            <w:r w:rsidRPr="00C479F2">
              <w:rPr>
                <w:b/>
                <w:sz w:val="20"/>
                <w:szCs w:val="20"/>
              </w:rPr>
              <w:t>Müd.</w:t>
            </w:r>
          </w:p>
        </w:tc>
        <w:tc>
          <w:tcPr>
            <w:tcW w:w="2271" w:type="dxa"/>
            <w:gridSpan w:val="4"/>
            <w:textDirection w:val="btLr"/>
          </w:tcPr>
          <w:p w:rsidR="0047173C" w:rsidRPr="00C479F2" w:rsidRDefault="0047173C" w:rsidP="00C479F2">
            <w:pPr>
              <w:ind w:left="113" w:right="113"/>
              <w:rPr>
                <w:sz w:val="22"/>
                <w:szCs w:val="22"/>
              </w:rPr>
            </w:pPr>
          </w:p>
          <w:p w:rsidR="0047173C" w:rsidRPr="00C479F2" w:rsidRDefault="0047173C" w:rsidP="00C479F2">
            <w:pPr>
              <w:ind w:left="113" w:right="113"/>
              <w:rPr>
                <w:sz w:val="22"/>
                <w:szCs w:val="22"/>
              </w:rPr>
            </w:pPr>
          </w:p>
          <w:p w:rsidR="0047173C" w:rsidRPr="00C479F2" w:rsidRDefault="0047173C" w:rsidP="00C479F2">
            <w:pPr>
              <w:ind w:left="113" w:right="113"/>
              <w:rPr>
                <w:sz w:val="22"/>
                <w:szCs w:val="22"/>
              </w:rPr>
            </w:pPr>
          </w:p>
          <w:p w:rsidR="0047173C" w:rsidRPr="00C479F2" w:rsidRDefault="0047173C" w:rsidP="00C479F2">
            <w:pPr>
              <w:ind w:left="113" w:right="113"/>
              <w:rPr>
                <w:sz w:val="22"/>
                <w:szCs w:val="22"/>
              </w:rPr>
            </w:pPr>
          </w:p>
          <w:p w:rsidR="0047173C" w:rsidRPr="00C479F2" w:rsidRDefault="0047173C" w:rsidP="00C479F2">
            <w:pPr>
              <w:ind w:left="113" w:right="113"/>
              <w:rPr>
                <w:sz w:val="22"/>
                <w:szCs w:val="22"/>
              </w:rPr>
            </w:pPr>
            <w:r w:rsidRPr="00C479F2">
              <w:rPr>
                <w:sz w:val="22"/>
                <w:szCs w:val="22"/>
              </w:rPr>
              <w:t>Halkalı</w:t>
            </w:r>
          </w:p>
          <w:p w:rsidR="0047173C" w:rsidRPr="00C479F2" w:rsidRDefault="0047173C" w:rsidP="00C479F2">
            <w:pPr>
              <w:ind w:left="113" w:right="113"/>
              <w:rPr>
                <w:sz w:val="22"/>
                <w:szCs w:val="22"/>
              </w:rPr>
            </w:pPr>
          </w:p>
          <w:p w:rsidR="0047173C" w:rsidRPr="00C479F2" w:rsidRDefault="0047173C" w:rsidP="00C479F2">
            <w:pPr>
              <w:ind w:left="113" w:right="113"/>
              <w:rPr>
                <w:sz w:val="22"/>
                <w:szCs w:val="22"/>
              </w:rPr>
            </w:pPr>
          </w:p>
          <w:p w:rsidR="0047173C" w:rsidRPr="00C479F2" w:rsidRDefault="0047173C" w:rsidP="00C479F2">
            <w:pPr>
              <w:ind w:left="113" w:right="113"/>
              <w:rPr>
                <w:sz w:val="20"/>
                <w:szCs w:val="20"/>
              </w:rPr>
            </w:pPr>
          </w:p>
        </w:tc>
        <w:tc>
          <w:tcPr>
            <w:tcW w:w="572" w:type="dxa"/>
            <w:textDirection w:val="btLr"/>
          </w:tcPr>
          <w:p w:rsidR="0047173C" w:rsidRPr="00C479F2" w:rsidRDefault="0047173C" w:rsidP="00C479F2">
            <w:pPr>
              <w:ind w:left="113" w:right="113"/>
              <w:rPr>
                <w:sz w:val="22"/>
                <w:szCs w:val="22"/>
              </w:rPr>
            </w:pPr>
            <w:r w:rsidRPr="00C479F2">
              <w:rPr>
                <w:sz w:val="22"/>
                <w:szCs w:val="22"/>
              </w:rPr>
              <w:t>Halkalı</w:t>
            </w:r>
          </w:p>
        </w:tc>
        <w:tc>
          <w:tcPr>
            <w:tcW w:w="345" w:type="dxa"/>
            <w:vMerge/>
            <w:textDirection w:val="btLr"/>
          </w:tcPr>
          <w:p w:rsidR="0047173C" w:rsidRPr="00C479F2" w:rsidRDefault="0047173C" w:rsidP="00C479F2">
            <w:pPr>
              <w:ind w:left="113" w:right="113"/>
              <w:rPr>
                <w:b/>
                <w:sz w:val="22"/>
                <w:szCs w:val="22"/>
              </w:rPr>
            </w:pPr>
          </w:p>
        </w:tc>
        <w:tc>
          <w:tcPr>
            <w:tcW w:w="1022" w:type="dxa"/>
            <w:textDirection w:val="btLr"/>
          </w:tcPr>
          <w:p w:rsidR="0047173C" w:rsidRPr="00C479F2" w:rsidRDefault="0047173C" w:rsidP="00C479F2">
            <w:pPr>
              <w:ind w:left="113" w:right="113"/>
              <w:rPr>
                <w:sz w:val="22"/>
                <w:szCs w:val="22"/>
              </w:rPr>
            </w:pPr>
            <w:r w:rsidRPr="00C479F2">
              <w:rPr>
                <w:sz w:val="22"/>
                <w:szCs w:val="22"/>
              </w:rPr>
              <w:t>Ambarlı</w:t>
            </w:r>
          </w:p>
        </w:tc>
        <w:tc>
          <w:tcPr>
            <w:tcW w:w="544" w:type="dxa"/>
            <w:textDirection w:val="btLr"/>
          </w:tcPr>
          <w:p w:rsidR="0047173C" w:rsidRPr="00C479F2" w:rsidRDefault="0047173C" w:rsidP="00C479F2">
            <w:pPr>
              <w:ind w:left="113" w:right="113"/>
              <w:rPr>
                <w:sz w:val="20"/>
                <w:szCs w:val="20"/>
              </w:rPr>
            </w:pPr>
            <w:r w:rsidRPr="00C479F2">
              <w:rPr>
                <w:sz w:val="20"/>
                <w:szCs w:val="20"/>
              </w:rPr>
              <w:t>Ambarlı</w:t>
            </w:r>
          </w:p>
        </w:tc>
        <w:tc>
          <w:tcPr>
            <w:tcW w:w="419" w:type="dxa"/>
            <w:vMerge/>
            <w:textDirection w:val="btLr"/>
          </w:tcPr>
          <w:p w:rsidR="0047173C" w:rsidRPr="00C479F2" w:rsidRDefault="0047173C" w:rsidP="00C479F2">
            <w:pPr>
              <w:ind w:left="113" w:right="113"/>
              <w:rPr>
                <w:sz w:val="22"/>
                <w:szCs w:val="22"/>
              </w:rPr>
            </w:pPr>
          </w:p>
        </w:tc>
        <w:tc>
          <w:tcPr>
            <w:tcW w:w="673" w:type="dxa"/>
            <w:textDirection w:val="btLr"/>
          </w:tcPr>
          <w:p w:rsidR="0047173C" w:rsidRPr="00C479F2" w:rsidRDefault="0047173C" w:rsidP="00C479F2">
            <w:pPr>
              <w:ind w:left="113" w:right="113"/>
              <w:rPr>
                <w:sz w:val="22"/>
                <w:szCs w:val="22"/>
              </w:rPr>
            </w:pPr>
            <w:r w:rsidRPr="00C479F2">
              <w:rPr>
                <w:sz w:val="22"/>
                <w:szCs w:val="22"/>
              </w:rPr>
              <w:t>Erenköy</w:t>
            </w:r>
          </w:p>
        </w:tc>
        <w:tc>
          <w:tcPr>
            <w:tcW w:w="546" w:type="dxa"/>
            <w:textDirection w:val="btLr"/>
          </w:tcPr>
          <w:p w:rsidR="0047173C" w:rsidRPr="00C479F2" w:rsidRDefault="0047173C" w:rsidP="00C479F2">
            <w:pPr>
              <w:ind w:left="113" w:right="113"/>
              <w:rPr>
                <w:sz w:val="22"/>
                <w:szCs w:val="22"/>
              </w:rPr>
            </w:pPr>
            <w:r w:rsidRPr="00C479F2">
              <w:rPr>
                <w:sz w:val="22"/>
                <w:szCs w:val="22"/>
              </w:rPr>
              <w:t>…</w:t>
            </w:r>
          </w:p>
        </w:tc>
        <w:tc>
          <w:tcPr>
            <w:tcW w:w="544" w:type="dxa"/>
            <w:textDirection w:val="btLr"/>
          </w:tcPr>
          <w:p w:rsidR="0047173C" w:rsidRPr="00C479F2" w:rsidRDefault="0047173C" w:rsidP="00C479F2">
            <w:pPr>
              <w:ind w:left="113" w:right="113"/>
              <w:rPr>
                <w:sz w:val="20"/>
                <w:szCs w:val="20"/>
              </w:rPr>
            </w:pPr>
            <w:r w:rsidRPr="00C479F2">
              <w:rPr>
                <w:sz w:val="20"/>
                <w:szCs w:val="20"/>
              </w:rPr>
              <w:t>…</w:t>
            </w:r>
          </w:p>
        </w:tc>
        <w:tc>
          <w:tcPr>
            <w:tcW w:w="546" w:type="dxa"/>
            <w:textDirection w:val="btLr"/>
          </w:tcPr>
          <w:p w:rsidR="0047173C" w:rsidRPr="00C479F2" w:rsidRDefault="0047173C" w:rsidP="00C479F2">
            <w:pPr>
              <w:ind w:left="113" w:right="113"/>
              <w:rPr>
                <w:sz w:val="22"/>
                <w:szCs w:val="22"/>
              </w:rPr>
            </w:pPr>
            <w:r w:rsidRPr="00C479F2">
              <w:rPr>
                <w:sz w:val="22"/>
                <w:szCs w:val="22"/>
              </w:rPr>
              <w:t>…</w:t>
            </w:r>
          </w:p>
        </w:tc>
        <w:tc>
          <w:tcPr>
            <w:tcW w:w="546" w:type="dxa"/>
            <w:textDirection w:val="btLr"/>
          </w:tcPr>
          <w:p w:rsidR="0047173C" w:rsidRPr="00C479F2" w:rsidRDefault="0047173C" w:rsidP="00C479F2">
            <w:pPr>
              <w:ind w:left="113" w:right="113"/>
              <w:rPr>
                <w:sz w:val="22"/>
                <w:szCs w:val="22"/>
              </w:rPr>
            </w:pPr>
            <w:r w:rsidRPr="00C479F2">
              <w:rPr>
                <w:sz w:val="22"/>
                <w:szCs w:val="22"/>
              </w:rPr>
              <w:t>…</w:t>
            </w:r>
          </w:p>
        </w:tc>
        <w:tc>
          <w:tcPr>
            <w:tcW w:w="573" w:type="dxa"/>
            <w:textDirection w:val="btLr"/>
          </w:tcPr>
          <w:p w:rsidR="0047173C" w:rsidRPr="00C479F2" w:rsidRDefault="0047173C" w:rsidP="00C479F2">
            <w:pPr>
              <w:ind w:left="113" w:right="113"/>
              <w:rPr>
                <w:sz w:val="22"/>
                <w:szCs w:val="22"/>
              </w:rPr>
            </w:pPr>
          </w:p>
        </w:tc>
      </w:tr>
    </w:tbl>
    <w:p w:rsidR="0047173C" w:rsidRDefault="0047173C" w:rsidP="00210F12">
      <w:pPr>
        <w:jc w:val="both"/>
        <w:rPr>
          <w:sz w:val="20"/>
          <w:szCs w:val="20"/>
        </w:rPr>
      </w:pPr>
      <w:r w:rsidRPr="00391984">
        <w:rPr>
          <w:sz w:val="20"/>
          <w:szCs w:val="20"/>
        </w:rPr>
        <w:t xml:space="preserve">(*) Royalti/Lisans ücretinin tespit edilme usulü, Royalti/lisans ücretinin gümrük beyannamelerine dağıtımının nasıl yapıldığı ilgili bilgi ve belgeler de (Ör: İlgili hesap bilgileri, ilgili finansal tablolar) eklenerek açıklanacaktır. </w:t>
      </w:r>
    </w:p>
    <w:p w:rsidR="0047173C" w:rsidRDefault="0047173C" w:rsidP="00210F12">
      <w:pPr>
        <w:rPr>
          <w:b/>
        </w:rPr>
      </w:pPr>
    </w:p>
    <w:p w:rsidR="0047173C" w:rsidRDefault="0047173C" w:rsidP="00210F12">
      <w:pPr>
        <w:rPr>
          <w:b/>
        </w:rPr>
      </w:pPr>
    </w:p>
    <w:p w:rsidR="0047173C" w:rsidRDefault="0047173C" w:rsidP="00210F12">
      <w:pPr>
        <w:rPr>
          <w:b/>
        </w:rPr>
      </w:pPr>
    </w:p>
    <w:p w:rsidR="0047173C" w:rsidRPr="00A01D3B" w:rsidRDefault="0047173C" w:rsidP="00210F12">
      <w:pPr>
        <w:rPr>
          <w:sz w:val="20"/>
          <w:szCs w:val="20"/>
        </w:rPr>
      </w:pPr>
      <w:r>
        <w:rPr>
          <w:b/>
        </w:rPr>
        <w:t>EK-3</w:t>
      </w:r>
    </w:p>
    <w:p w:rsidR="0047173C" w:rsidRDefault="0047173C" w:rsidP="00210F12">
      <w:pPr>
        <w:jc w:val="center"/>
        <w:rPr>
          <w:b/>
        </w:rPr>
      </w:pPr>
    </w:p>
    <w:p w:rsidR="0047173C" w:rsidRPr="0037050D" w:rsidRDefault="0047173C" w:rsidP="00210F12">
      <w:pPr>
        <w:jc w:val="center"/>
        <w:rPr>
          <w:b/>
        </w:rPr>
      </w:pPr>
      <w:r w:rsidRPr="0037050D">
        <w:rPr>
          <w:b/>
        </w:rPr>
        <w:t>TAVSİYE 4.1</w:t>
      </w:r>
    </w:p>
    <w:p w:rsidR="0047173C" w:rsidRDefault="0047173C" w:rsidP="00210F12">
      <w:pPr>
        <w:ind w:firstLine="360"/>
        <w:jc w:val="both"/>
        <w:rPr>
          <w:b/>
        </w:rPr>
      </w:pPr>
      <w:r w:rsidRPr="0037050D">
        <w:rPr>
          <w:b/>
        </w:rPr>
        <w:t>(Satıcının ithalatçıdan üçüncü bir kişiye (patent sahibi) ödemesini istediği royalti)</w:t>
      </w:r>
    </w:p>
    <w:p w:rsidR="0047173C" w:rsidRPr="0037050D" w:rsidRDefault="0047173C" w:rsidP="00210F12">
      <w:pPr>
        <w:ind w:firstLine="360"/>
        <w:jc w:val="both"/>
        <w:rPr>
          <w:b/>
        </w:rPr>
      </w:pPr>
    </w:p>
    <w:p w:rsidR="0047173C" w:rsidRDefault="0047173C" w:rsidP="00210F12">
      <w:pPr>
        <w:pStyle w:val="ListParagraph"/>
        <w:numPr>
          <w:ilvl w:val="0"/>
          <w:numId w:val="18"/>
        </w:numPr>
        <w:spacing w:before="0" w:beforeAutospacing="0" w:after="0" w:afterAutospacing="0"/>
        <w:contextualSpacing/>
        <w:jc w:val="both"/>
      </w:pPr>
      <w:r w:rsidRPr="0037050D">
        <w:t>Patent konusu bir makine, ithal ülkesine ihraç edilmek üzere, patent ücretinin dâhil edilmediği</w:t>
      </w:r>
      <w:r>
        <w:t xml:space="preserve"> </w:t>
      </w:r>
      <w:r w:rsidRPr="0037050D">
        <w:t>bir fiyat üzerinden satılmaktadır. Satıc</w:t>
      </w:r>
      <w:r>
        <w:t>ı</w:t>
      </w:r>
      <w:r w:rsidRPr="0037050D">
        <w:t>, ithalatçının patent ücretini patent sahibi bi</w:t>
      </w:r>
      <w:r>
        <w:t>r üçüncü kişiye ödemesini talep</w:t>
      </w:r>
      <w:r w:rsidRPr="0037050D">
        <w:t xml:space="preserve"> etmiştir. Bu dur</w:t>
      </w:r>
      <w:r>
        <w:t>umda royaltinin, Anlaşmanın 8.1 (c)</w:t>
      </w:r>
      <w:r w:rsidRPr="0037050D">
        <w:t xml:space="preserve"> maddesine göre, ödenen veya ödenecek fiyata ilave edilmesi gerekir mi?</w:t>
      </w:r>
    </w:p>
    <w:p w:rsidR="0047173C" w:rsidRPr="0037050D" w:rsidRDefault="0047173C" w:rsidP="00210F12">
      <w:pPr>
        <w:pStyle w:val="ListParagraph"/>
        <w:spacing w:before="0" w:beforeAutospacing="0" w:after="0" w:afterAutospacing="0"/>
        <w:ind w:left="720"/>
        <w:contextualSpacing/>
        <w:jc w:val="both"/>
      </w:pPr>
    </w:p>
    <w:p w:rsidR="0047173C" w:rsidRPr="0037050D" w:rsidRDefault="0047173C" w:rsidP="00210F12">
      <w:pPr>
        <w:pStyle w:val="ListParagraph"/>
        <w:numPr>
          <w:ilvl w:val="0"/>
          <w:numId w:val="18"/>
        </w:numPr>
        <w:spacing w:before="0" w:beforeAutospacing="0" w:after="0" w:afterAutospacing="0"/>
        <w:contextualSpacing/>
        <w:jc w:val="both"/>
      </w:pPr>
      <w:r w:rsidRPr="0037050D">
        <w:t>Gümrük Kıymeti Teknik Komitesi aşağıdaki görüşü açıklamıştır.</w:t>
      </w:r>
    </w:p>
    <w:p w:rsidR="0047173C" w:rsidRPr="0037050D" w:rsidRDefault="0047173C" w:rsidP="00210F12">
      <w:pPr>
        <w:ind w:left="708"/>
        <w:jc w:val="both"/>
      </w:pPr>
      <w:r w:rsidRPr="0037050D">
        <w:t xml:space="preserve">8.1 </w:t>
      </w:r>
      <w:r>
        <w:t>(c)</w:t>
      </w:r>
      <w:r w:rsidRPr="0037050D">
        <w:t xml:space="preserve"> maddesi hükümlerine göre, alıcının yaptığı royalti ödemesinin kıymeti belirlenecek eşya ile ilgili ve ödemenin bu eşyanın satış koşulu olması nedeniyle, royaltinin gerçekte ödenen veya ödenecek fiyata ilavesi gerekir.</w:t>
      </w:r>
    </w:p>
    <w:p w:rsidR="0047173C" w:rsidRPr="0037050D" w:rsidRDefault="0047173C" w:rsidP="00210F12">
      <w:pPr>
        <w:jc w:val="both"/>
      </w:pPr>
    </w:p>
    <w:p w:rsidR="0047173C" w:rsidRPr="0037050D" w:rsidRDefault="0047173C" w:rsidP="00210F12">
      <w:pPr>
        <w:jc w:val="center"/>
        <w:rPr>
          <w:b/>
        </w:rPr>
      </w:pPr>
      <w:r w:rsidRPr="0037050D">
        <w:rPr>
          <w:b/>
        </w:rPr>
        <w:t>TAVSİYE 4.2</w:t>
      </w:r>
    </w:p>
    <w:p w:rsidR="0047173C" w:rsidRDefault="0047173C" w:rsidP="00210F12">
      <w:pPr>
        <w:ind w:left="360"/>
        <w:jc w:val="both"/>
        <w:rPr>
          <w:b/>
        </w:rPr>
      </w:pPr>
      <w:r w:rsidRPr="0037050D">
        <w:rPr>
          <w:b/>
        </w:rPr>
        <w:t>(</w:t>
      </w:r>
      <w:r>
        <w:rPr>
          <w:b/>
        </w:rPr>
        <w:t>İ</w:t>
      </w:r>
      <w:r w:rsidRPr="0037050D">
        <w:rPr>
          <w:b/>
        </w:rPr>
        <w:t>thal ülkesi kanunları gereğince, ithalatçının ithal eşyasını tekrar satması halinde üçüncü kişiye (telif hakkı sahibi) ödediği royalti)</w:t>
      </w:r>
    </w:p>
    <w:p w:rsidR="0047173C" w:rsidRPr="0037050D" w:rsidRDefault="0047173C" w:rsidP="00210F12">
      <w:pPr>
        <w:ind w:left="360"/>
        <w:jc w:val="both"/>
        <w:rPr>
          <w:b/>
        </w:rPr>
      </w:pPr>
    </w:p>
    <w:p w:rsidR="0047173C" w:rsidRDefault="0047173C" w:rsidP="00210F12">
      <w:pPr>
        <w:pStyle w:val="ListParagraph"/>
        <w:numPr>
          <w:ilvl w:val="0"/>
          <w:numId w:val="19"/>
        </w:numPr>
        <w:spacing w:before="0" w:beforeAutospacing="0" w:after="0" w:afterAutospacing="0"/>
        <w:contextualSpacing/>
        <w:jc w:val="both"/>
      </w:pPr>
      <w:r w:rsidRPr="0037050D">
        <w:t>Bir müzik icrasına ait plaklar, imalatçısından bir ithalatçı</w:t>
      </w:r>
      <w:r>
        <w:t xml:space="preserve"> </w:t>
      </w:r>
      <w:r w:rsidRPr="0037050D">
        <w:t>tarafından satın alınmıştır.</w:t>
      </w:r>
      <w:r>
        <w:t xml:space="preserve"> İthal ülkesi yasalarına göre p</w:t>
      </w:r>
      <w:r w:rsidRPr="0037050D">
        <w:t>lakların tekrar satışı sırasında, ithalatçının bu satış fiyatının %3’ünü royalti olarak telif hakkı sahibi ve müzikal kompozisyonun yazarı olan bir üçüncü kişiye ödemesi gerekmektedir. İmalatçının royalti ödemesinin doğrudan veya dolaylı olarak nemalanması mümkün olmadığı gibi</w:t>
      </w:r>
      <w:r>
        <w:t xml:space="preserve"> </w:t>
      </w:r>
      <w:r w:rsidRPr="0037050D">
        <w:t>bu ödeme satış sözleşmesine göre de bir zorunluluk değildir.</w:t>
      </w:r>
      <w:r>
        <w:t xml:space="preserve"> </w:t>
      </w:r>
      <w:r w:rsidRPr="0037050D">
        <w:t>Royaltinin gerçekte ödenen veya ödenecek fiyata dahil edilmesi gerekir mi?</w:t>
      </w:r>
    </w:p>
    <w:p w:rsidR="0047173C" w:rsidRPr="0037050D" w:rsidRDefault="0047173C" w:rsidP="00210F12">
      <w:pPr>
        <w:pStyle w:val="ListParagraph"/>
        <w:spacing w:before="0" w:beforeAutospacing="0" w:after="0" w:afterAutospacing="0"/>
        <w:ind w:left="720"/>
        <w:contextualSpacing/>
        <w:jc w:val="both"/>
      </w:pPr>
    </w:p>
    <w:p w:rsidR="0047173C" w:rsidRDefault="0047173C" w:rsidP="00210F12">
      <w:pPr>
        <w:pStyle w:val="ListParagraph"/>
        <w:numPr>
          <w:ilvl w:val="0"/>
          <w:numId w:val="19"/>
        </w:numPr>
        <w:spacing w:before="0" w:beforeAutospacing="0" w:after="0" w:afterAutospacing="0"/>
        <w:contextualSpacing/>
        <w:jc w:val="both"/>
      </w:pPr>
      <w:r w:rsidRPr="0037050D">
        <w:t>Gümrük Kıymeti Teknik Komitesi aşağıdaki görüşü açıklamıştır.</w:t>
      </w:r>
    </w:p>
    <w:p w:rsidR="0047173C" w:rsidRPr="00CA2EB1" w:rsidRDefault="0047173C" w:rsidP="00210F12">
      <w:pPr>
        <w:ind w:left="708"/>
        <w:jc w:val="both"/>
      </w:pPr>
      <w:r w:rsidRPr="00CA2EB1">
        <w:t>Royalti ödemesi, ithal eşyasının ihraç amacıyla satışında bir satış koşulu olmayıp, plakların ithal ülkesindeki satışı sırasında telif hakkı sahibine yapılması gereken ödemenin ithalatçının yasal bir yükümlülüğü olması nedeniyle, gümrük kıymeti belirlenirken royaltinin gerçekte ödenen veya ödenecek fiyata ilave edilmemesi gerekir.</w:t>
      </w:r>
    </w:p>
    <w:p w:rsidR="0047173C" w:rsidRPr="0037050D" w:rsidRDefault="0047173C" w:rsidP="00210F12">
      <w:pPr>
        <w:jc w:val="both"/>
      </w:pPr>
    </w:p>
    <w:p w:rsidR="0047173C" w:rsidRPr="0037050D" w:rsidRDefault="0047173C" w:rsidP="00210F12">
      <w:pPr>
        <w:jc w:val="center"/>
        <w:rPr>
          <w:b/>
        </w:rPr>
      </w:pPr>
      <w:r w:rsidRPr="0037050D">
        <w:rPr>
          <w:b/>
        </w:rPr>
        <w:t>TAVSİYE 4.3</w:t>
      </w:r>
    </w:p>
    <w:p w:rsidR="0047173C" w:rsidRDefault="0047173C" w:rsidP="00210F12">
      <w:pPr>
        <w:ind w:left="360"/>
        <w:jc w:val="both"/>
        <w:rPr>
          <w:b/>
        </w:rPr>
      </w:pPr>
      <w:r w:rsidRPr="0037050D">
        <w:rPr>
          <w:b/>
        </w:rPr>
        <w:t>(İthalatçının belli bir ürünün üretiminde kullanılan patentli bir metodun kullanım hakkı için ayrı bir sözleşme altında üçüncü kişiye (patent sahibi)</w:t>
      </w:r>
      <w:r>
        <w:rPr>
          <w:b/>
        </w:rPr>
        <w:t xml:space="preserve">  </w:t>
      </w:r>
      <w:r w:rsidRPr="0037050D">
        <w:rPr>
          <w:b/>
        </w:rPr>
        <w:t>ödediği royalti)</w:t>
      </w:r>
    </w:p>
    <w:p w:rsidR="0047173C" w:rsidRPr="0037050D" w:rsidRDefault="0047173C" w:rsidP="00210F12">
      <w:pPr>
        <w:ind w:left="360"/>
        <w:jc w:val="both"/>
        <w:rPr>
          <w:b/>
        </w:rPr>
      </w:pPr>
    </w:p>
    <w:p w:rsidR="0047173C" w:rsidRDefault="0047173C" w:rsidP="00210F12">
      <w:pPr>
        <w:pStyle w:val="ListParagraph"/>
        <w:numPr>
          <w:ilvl w:val="0"/>
          <w:numId w:val="20"/>
        </w:numPr>
        <w:spacing w:before="0" w:beforeAutospacing="0" w:after="0" w:afterAutospacing="0"/>
        <w:contextualSpacing/>
        <w:jc w:val="both"/>
      </w:pPr>
      <w:r w:rsidRPr="0037050D">
        <w:t xml:space="preserve">T ithalatçısı, ürettiği belli bir ürünün imali </w:t>
      </w:r>
      <w:r>
        <w:t>için patent konusu bir üretim me</w:t>
      </w:r>
      <w:r w:rsidRPr="0037050D">
        <w:t>todu kullanma hakkı elde etmiş ve patent sahibi P’ye bu metodla üretilen eşya sayısı üzerinden bir royalti ödeme konusunda anlaşmıştır. Ayrı bir sözleşme ile T, yabancı bir H imalatçısından kendisinin tasarladığı ve münh</w:t>
      </w:r>
      <w:r>
        <w:t>asıran patent konusu üretim met</w:t>
      </w:r>
      <w:r w:rsidRPr="0037050D">
        <w:t>odunda kullanılmak üzere bir makine satın a</w:t>
      </w:r>
      <w:r>
        <w:t>lmıştır. Patent konusu üretim me</w:t>
      </w:r>
      <w:r w:rsidRPr="0037050D">
        <w:t xml:space="preserve">todu için ödenen </w:t>
      </w:r>
      <w:r>
        <w:t>royalti</w:t>
      </w:r>
      <w:r w:rsidRPr="0037050D">
        <w:t>, ithal edilen makine için ödenen veya ödenecek fiyatın bir parçası mıdır?</w:t>
      </w:r>
    </w:p>
    <w:p w:rsidR="0047173C" w:rsidRPr="0037050D" w:rsidRDefault="0047173C" w:rsidP="00210F12">
      <w:pPr>
        <w:pStyle w:val="ListParagraph"/>
        <w:spacing w:before="0" w:beforeAutospacing="0" w:after="0" w:afterAutospacing="0"/>
        <w:ind w:left="720"/>
        <w:contextualSpacing/>
        <w:jc w:val="both"/>
      </w:pPr>
    </w:p>
    <w:p w:rsidR="0047173C" w:rsidRPr="0037050D" w:rsidRDefault="0047173C" w:rsidP="00210F12">
      <w:pPr>
        <w:pStyle w:val="ListParagraph"/>
        <w:numPr>
          <w:ilvl w:val="0"/>
          <w:numId w:val="20"/>
        </w:numPr>
        <w:spacing w:before="0" w:beforeAutospacing="0" w:after="0" w:afterAutospacing="0"/>
        <w:contextualSpacing/>
        <w:jc w:val="both"/>
      </w:pPr>
      <w:r w:rsidRPr="0037050D">
        <w:t xml:space="preserve"> Gümrük Kıymeti Teknik Komitesi aşağıdaki görüşü açıklamıştır.</w:t>
      </w:r>
    </w:p>
    <w:p w:rsidR="0047173C" w:rsidRPr="00CA2EB1" w:rsidRDefault="0047173C" w:rsidP="00210F12">
      <w:pPr>
        <w:ind w:left="720"/>
        <w:jc w:val="both"/>
      </w:pPr>
      <w:r w:rsidRPr="00CA2EB1">
        <w:t>Her ne kadar söz konusu royalti ödemesi makinenin kullanılacağı üretim metodu ile ilgiliyse ve bu üretim metodu makinenin tek kullanım yolunu oluşturuyorsa da, makinenin ithal ülkesine ihraç amacıyla yapılan satışında bir satış koşulu olmayan bu royalti ödemesi gümrük kıymetinin bir parçasını oluşturmaz.</w:t>
      </w: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Pr="0037050D" w:rsidRDefault="0047173C" w:rsidP="00210F12">
      <w:pPr>
        <w:jc w:val="both"/>
      </w:pPr>
    </w:p>
    <w:p w:rsidR="0047173C" w:rsidRPr="0037050D" w:rsidRDefault="0047173C" w:rsidP="00210F12">
      <w:pPr>
        <w:jc w:val="center"/>
        <w:rPr>
          <w:b/>
        </w:rPr>
      </w:pPr>
      <w:r w:rsidRPr="0037050D">
        <w:rPr>
          <w:b/>
        </w:rPr>
        <w:t>TAVSİYE 4.4</w:t>
      </w:r>
    </w:p>
    <w:p w:rsidR="0047173C" w:rsidRDefault="0047173C" w:rsidP="00210F12">
      <w:pPr>
        <w:jc w:val="both"/>
        <w:rPr>
          <w:b/>
        </w:rPr>
      </w:pPr>
      <w:r w:rsidRPr="0037050D">
        <w:rPr>
          <w:b/>
        </w:rPr>
        <w:t>(Patentli karışımın, yeniden satışa konu olacak ürünün</w:t>
      </w:r>
      <w:r>
        <w:rPr>
          <w:b/>
        </w:rPr>
        <w:t xml:space="preserve"> içinde kullanılması hakkı için, ithalatçı tarafından</w:t>
      </w:r>
      <w:r w:rsidRPr="0037050D">
        <w:rPr>
          <w:b/>
        </w:rPr>
        <w:t>, satışın bir koşulu olarak satıcıya</w:t>
      </w:r>
      <w:r>
        <w:rPr>
          <w:b/>
        </w:rPr>
        <w:t xml:space="preserve"> </w:t>
      </w:r>
      <w:r w:rsidRPr="0037050D">
        <w:rPr>
          <w:b/>
        </w:rPr>
        <w:t>(patent sahibi) ödenen royalti )</w:t>
      </w:r>
    </w:p>
    <w:p w:rsidR="0047173C" w:rsidRPr="0037050D" w:rsidRDefault="0047173C" w:rsidP="00210F12">
      <w:pPr>
        <w:jc w:val="both"/>
        <w:rPr>
          <w:b/>
        </w:rPr>
      </w:pPr>
    </w:p>
    <w:p w:rsidR="0047173C" w:rsidRDefault="0047173C" w:rsidP="00210F12">
      <w:pPr>
        <w:pStyle w:val="ListParagraph"/>
        <w:numPr>
          <w:ilvl w:val="0"/>
          <w:numId w:val="21"/>
        </w:numPr>
        <w:spacing w:before="0" w:beforeAutospacing="0" w:after="0" w:afterAutospacing="0"/>
        <w:contextualSpacing/>
        <w:jc w:val="both"/>
      </w:pPr>
      <w:r w:rsidRPr="0037050D">
        <w:t>T ithalatçısı, aynı zamanda patent sahibi de olan M imalatçısından patent konusu bir konsantrasyon satın almaktadır.</w:t>
      </w:r>
      <w:r>
        <w:t xml:space="preserve"> </w:t>
      </w:r>
      <w:r w:rsidRPr="0037050D">
        <w:t>İthal edilen konsantrasyon yalnızca su ile karıştırılarak ithal ülkesinde tekrar satılmak üzere paketlenmektedir. Alıcının M imalatçısına, patent konusu konsantrasyonun, tekrar satılacak eşyaya katılması</w:t>
      </w:r>
      <w:r>
        <w:t xml:space="preserve"> </w:t>
      </w:r>
      <w:r w:rsidRPr="0037050D">
        <w:t>veya bu eşyada kull</w:t>
      </w:r>
      <w:r>
        <w:t>an</w:t>
      </w:r>
      <w:r w:rsidRPr="0037050D">
        <w:t>ılması hakkına karşılık, eşyanın fiyatına ilaveten bir satış koşulu olarak royalti ödemesi gerekmektedir. Royalti tutarı, nihai ürünün satış fiyatı üzerinden hesaplanmaktadır.</w:t>
      </w:r>
    </w:p>
    <w:p w:rsidR="0047173C" w:rsidRPr="0037050D" w:rsidRDefault="0047173C" w:rsidP="00210F12">
      <w:pPr>
        <w:pStyle w:val="ListParagraph"/>
        <w:spacing w:before="0" w:beforeAutospacing="0" w:after="0" w:afterAutospacing="0"/>
        <w:ind w:left="720"/>
        <w:contextualSpacing/>
        <w:jc w:val="both"/>
      </w:pPr>
    </w:p>
    <w:p w:rsidR="0047173C" w:rsidRPr="0037050D" w:rsidRDefault="0047173C" w:rsidP="00210F12">
      <w:pPr>
        <w:pStyle w:val="ListParagraph"/>
        <w:numPr>
          <w:ilvl w:val="0"/>
          <w:numId w:val="21"/>
        </w:numPr>
        <w:spacing w:before="0" w:beforeAutospacing="0" w:after="0" w:afterAutospacing="0"/>
        <w:contextualSpacing/>
        <w:jc w:val="both"/>
      </w:pPr>
      <w:r w:rsidRPr="0037050D">
        <w:t>Gümrük Kıymeti Teknik Komitesi aşağıdaki görüşü açıklamıştır.</w:t>
      </w:r>
    </w:p>
    <w:p w:rsidR="0047173C" w:rsidRPr="0037050D" w:rsidRDefault="0047173C" w:rsidP="00210F12">
      <w:pPr>
        <w:ind w:left="708"/>
        <w:jc w:val="both"/>
      </w:pPr>
      <w:r w:rsidRPr="0037050D">
        <w:t>Bir satış koşulu olan bu royaltinin, ithal eşyasına yapılan ödeme ile ilgisi nedeniyle 8.1</w:t>
      </w:r>
      <w:r>
        <w:t xml:space="preserve"> (c)</w:t>
      </w:r>
      <w:r w:rsidRPr="0037050D">
        <w:t xml:space="preserve"> maddesine göre gerçekte ödenen veya ödenecek fiyata ilavesi</w:t>
      </w:r>
      <w:r>
        <w:t xml:space="preserve"> gerekir. Bu tavsiye yalnızca</w:t>
      </w:r>
      <w:r w:rsidRPr="0037050D">
        <w:t>, ithal eşyası ile bütünlük oluşturan patent için</w:t>
      </w:r>
      <w:r>
        <w:t xml:space="preserve"> ödenen royalti ile ilgili olduğ</w:t>
      </w:r>
      <w:r w:rsidRPr="0037050D">
        <w:t>undan farklı durumlara teşmil edilemez.</w:t>
      </w:r>
    </w:p>
    <w:p w:rsidR="0047173C" w:rsidRPr="0037050D" w:rsidRDefault="0047173C" w:rsidP="00210F12">
      <w:pPr>
        <w:jc w:val="both"/>
      </w:pPr>
    </w:p>
    <w:p w:rsidR="0047173C" w:rsidRPr="00780C71" w:rsidRDefault="0047173C" w:rsidP="00210F12">
      <w:pPr>
        <w:jc w:val="center"/>
        <w:rPr>
          <w:b/>
        </w:rPr>
      </w:pPr>
      <w:r w:rsidRPr="00780C71">
        <w:rPr>
          <w:b/>
        </w:rPr>
        <w:t>TAVSİYE 4.5</w:t>
      </w:r>
    </w:p>
    <w:p w:rsidR="0047173C" w:rsidRDefault="0047173C" w:rsidP="00210F12">
      <w:pPr>
        <w:ind w:left="360"/>
        <w:jc w:val="both"/>
        <w:rPr>
          <w:b/>
        </w:rPr>
      </w:pPr>
      <w:r w:rsidRPr="00780C71">
        <w:rPr>
          <w:b/>
        </w:rPr>
        <w:t>(Girdi maddelerinin ticar</w:t>
      </w:r>
      <w:r>
        <w:rPr>
          <w:b/>
        </w:rPr>
        <w:t>i marka sahibinden ithal edilip e</w:t>
      </w:r>
      <w:r w:rsidRPr="00780C71">
        <w:rPr>
          <w:b/>
        </w:rPr>
        <w:t>dilmediğine bakılmaksı</w:t>
      </w:r>
      <w:r>
        <w:rPr>
          <w:b/>
        </w:rPr>
        <w:t>zın, ithalatçı tarafından ticar</w:t>
      </w:r>
      <w:r w:rsidRPr="00780C71">
        <w:rPr>
          <w:b/>
        </w:rPr>
        <w:t>i marka sahibine, ticari marka altında üretilen ve satılan 6 tip kozmetik ürün için ödenen royalti)</w:t>
      </w:r>
    </w:p>
    <w:p w:rsidR="0047173C" w:rsidRPr="00780C71" w:rsidRDefault="0047173C" w:rsidP="00210F12">
      <w:pPr>
        <w:ind w:left="360"/>
        <w:jc w:val="both"/>
        <w:rPr>
          <w:b/>
        </w:rPr>
      </w:pPr>
    </w:p>
    <w:p w:rsidR="0047173C" w:rsidRDefault="0047173C" w:rsidP="00210F12">
      <w:pPr>
        <w:pStyle w:val="ListParagraph"/>
        <w:numPr>
          <w:ilvl w:val="0"/>
          <w:numId w:val="22"/>
        </w:numPr>
        <w:spacing w:before="0" w:beforeAutospacing="0" w:after="0" w:afterAutospacing="0"/>
        <w:contextualSpacing/>
        <w:jc w:val="both"/>
      </w:pPr>
      <w:r w:rsidRPr="0037050D">
        <w:t>Yabancı imalatçı M ithal ülkesinde korunan bir ticari marka sahibidir. İthalatçı T, M’nin ticari markası altında altı tür kozmetik imal etmekte ve satmaktadır. T</w:t>
      </w:r>
      <w:r>
        <w:t>’ni</w:t>
      </w:r>
      <w:r w:rsidRPr="0037050D">
        <w:t>n M’ye , ticari markası altında sattığı kozmetiklerin yıllık gayrisafi satış tutarı üzerinden %5 royalti ödemesi gerekmektedir. Kozmetiklerden; içerdiği maddeler genel olarak M’den satın alınan biri hariç, diğer tümünün içerdiği maddeler ithal ülkesinde tedarik edilmekte ve tüm ko</w:t>
      </w:r>
      <w:r>
        <w:t>z</w:t>
      </w:r>
      <w:r w:rsidRPr="0037050D">
        <w:t>metik ürünler M’nin verdiği formül ile üretilmektedir. İthal edilen söz konusu maddeler açısında royaltinin tabi tutulacağı işlem nedir?</w:t>
      </w:r>
    </w:p>
    <w:p w:rsidR="0047173C" w:rsidRPr="0037050D" w:rsidRDefault="0047173C" w:rsidP="00210F12">
      <w:pPr>
        <w:pStyle w:val="ListParagraph"/>
        <w:spacing w:before="0" w:beforeAutospacing="0" w:after="0" w:afterAutospacing="0"/>
        <w:ind w:left="720"/>
        <w:contextualSpacing/>
        <w:jc w:val="both"/>
      </w:pPr>
    </w:p>
    <w:p w:rsidR="0047173C" w:rsidRPr="0037050D" w:rsidRDefault="0047173C" w:rsidP="00210F12">
      <w:pPr>
        <w:pStyle w:val="ListParagraph"/>
        <w:numPr>
          <w:ilvl w:val="0"/>
          <w:numId w:val="22"/>
        </w:numPr>
        <w:spacing w:before="0" w:beforeAutospacing="0" w:after="0" w:afterAutospacing="0"/>
        <w:contextualSpacing/>
        <w:jc w:val="both"/>
      </w:pPr>
      <w:r w:rsidRPr="0037050D">
        <w:t>Gümrük Kıymeti Teknik Komitesi aşağıdaki görüşü açıklamıştır.</w:t>
      </w:r>
    </w:p>
    <w:p w:rsidR="0047173C" w:rsidRPr="00CA2EB1" w:rsidRDefault="0047173C" w:rsidP="00210F12">
      <w:pPr>
        <w:ind w:left="708"/>
        <w:jc w:val="both"/>
      </w:pPr>
      <w:r w:rsidRPr="00CA2EB1">
        <w:t>M’ye yapılacak royalti ödemesi, T’nin söz konusu girdi maddelerini M’den veya yerel satıcılardan tedarik etmesinden bağımsız olduğundan, ithal eşyasının satış koşulu değildir ve 8.1 (c) maddesine göre kıymetin tespitinde gerçekte ödenen veya ödenecek fiyata ilave edilmez.</w:t>
      </w:r>
    </w:p>
    <w:p w:rsidR="0047173C" w:rsidRDefault="0047173C" w:rsidP="00210F12">
      <w:pPr>
        <w:jc w:val="both"/>
      </w:pPr>
    </w:p>
    <w:p w:rsidR="0047173C" w:rsidRPr="00780C71" w:rsidRDefault="0047173C" w:rsidP="00210F12">
      <w:pPr>
        <w:jc w:val="center"/>
        <w:rPr>
          <w:b/>
        </w:rPr>
      </w:pPr>
      <w:r w:rsidRPr="00780C71">
        <w:rPr>
          <w:b/>
        </w:rPr>
        <w:t>TAVSİYE 4.6</w:t>
      </w:r>
    </w:p>
    <w:p w:rsidR="0047173C" w:rsidRDefault="0047173C" w:rsidP="00210F12">
      <w:pPr>
        <w:ind w:left="360"/>
        <w:jc w:val="both"/>
        <w:rPr>
          <w:b/>
        </w:rPr>
      </w:pPr>
      <w:r>
        <w:rPr>
          <w:b/>
        </w:rPr>
        <w:t>(</w:t>
      </w:r>
      <w:r w:rsidRPr="00780C71">
        <w:rPr>
          <w:b/>
        </w:rPr>
        <w:t>İthalatçının, ithal ettiği eşyayı ticari marka altında yeniden satışında, satış koşulu olarak, satıcıya (ticari marka sahibi) ödediği royalti)</w:t>
      </w:r>
    </w:p>
    <w:p w:rsidR="0047173C" w:rsidRPr="00780C71" w:rsidRDefault="0047173C" w:rsidP="00210F12">
      <w:pPr>
        <w:ind w:left="360"/>
        <w:jc w:val="both"/>
        <w:rPr>
          <w:b/>
        </w:rPr>
      </w:pPr>
    </w:p>
    <w:p w:rsidR="0047173C" w:rsidRDefault="0047173C" w:rsidP="00210F12">
      <w:pPr>
        <w:pStyle w:val="ListParagraph"/>
        <w:numPr>
          <w:ilvl w:val="0"/>
          <w:numId w:val="23"/>
        </w:numPr>
        <w:spacing w:before="0" w:beforeAutospacing="0" w:after="0" w:afterAutospacing="0"/>
        <w:contextualSpacing/>
        <w:jc w:val="both"/>
      </w:pPr>
      <w:r w:rsidRPr="0037050D">
        <w:t>İthalatçı, yabancı imalatçı M’den aynı konsantrasyona ait iki ayrı parti alış yapmıştı</w:t>
      </w:r>
      <w:r>
        <w:t>r</w:t>
      </w:r>
      <w:r w:rsidRPr="0037050D">
        <w:t xml:space="preserve">. M firması, seyreltildikten sonra satılan eşya için kullanılıp kullanılmaması ithal amacıyla yapılan satışın şartlarına bağlı olan bir ticari marka sahibidir. Ticari markanın kullanımı için ödenmesi gereken ücret birim üzerinden hesaplanmaktadır. İthal edilen konsantrasyon yalnızca su ile karıştırılarak seyreltilmekte ve müşteriye </w:t>
      </w:r>
      <w:r>
        <w:t>satılmak üzere paketlenmektedir.</w:t>
      </w:r>
    </w:p>
    <w:p w:rsidR="0047173C" w:rsidRDefault="0047173C" w:rsidP="00210F12">
      <w:pPr>
        <w:pStyle w:val="ListParagraph"/>
        <w:spacing w:before="0" w:beforeAutospacing="0" w:after="0" w:afterAutospacing="0"/>
        <w:ind w:left="720"/>
        <w:contextualSpacing/>
        <w:jc w:val="both"/>
      </w:pPr>
    </w:p>
    <w:p w:rsidR="0047173C" w:rsidRDefault="0047173C" w:rsidP="00210F12">
      <w:pPr>
        <w:pStyle w:val="ListParagraph"/>
        <w:spacing w:before="0" w:beforeAutospacing="0" w:after="0" w:afterAutospacing="0"/>
        <w:ind w:left="720"/>
        <w:contextualSpacing/>
        <w:jc w:val="both"/>
      </w:pPr>
      <w:r w:rsidRPr="0037050D">
        <w:t>İlk parti alışta konsantrasyon seyreltilmekte, ticari markası olmaksızın ve ticari marka ücreti ödenmesi gerekmeksizin tekrar satılmaktadır. İkinci parti alışa ait konsantrasyon seyreltilmekte, ticari marka ile tekrar satılmakta ve ithal amaçlı satışın bir koşulu olarak ticari marka ücretinin ödenmesi gerekmektedir.</w:t>
      </w:r>
    </w:p>
    <w:p w:rsidR="0047173C" w:rsidRDefault="0047173C" w:rsidP="00210F12">
      <w:pPr>
        <w:pStyle w:val="ListParagraph"/>
        <w:spacing w:before="0" w:beforeAutospacing="0" w:after="0" w:afterAutospacing="0"/>
        <w:ind w:left="720"/>
        <w:contextualSpacing/>
        <w:jc w:val="both"/>
      </w:pPr>
    </w:p>
    <w:p w:rsidR="0047173C" w:rsidRPr="0037050D" w:rsidRDefault="0047173C" w:rsidP="00210F12">
      <w:pPr>
        <w:pStyle w:val="ListParagraph"/>
        <w:numPr>
          <w:ilvl w:val="0"/>
          <w:numId w:val="23"/>
        </w:numPr>
        <w:spacing w:before="0" w:beforeAutospacing="0" w:after="0" w:afterAutospacing="0"/>
        <w:contextualSpacing/>
        <w:jc w:val="both"/>
      </w:pPr>
      <w:r w:rsidRPr="0037050D">
        <w:t>Gümrük Kıymeti Teknik Komitesi aşağıdaki görüşü açıklamıştır.</w:t>
      </w:r>
    </w:p>
    <w:p w:rsidR="0047173C" w:rsidRDefault="0047173C" w:rsidP="00210F12">
      <w:pPr>
        <w:ind w:left="708"/>
        <w:jc w:val="both"/>
      </w:pPr>
      <w:r w:rsidRPr="00CA2EB1">
        <w:t>İlk alışa ait eşya ticari marka olmaksızın dolayısıyla da ticari markaya ilişkin bir ücret ödenmeksizin satıldığından, herhangi bir ilaveye gerek yoktur. İkinci parti alışa ait eşya için M’ye ödenmesi gereken royaltinin ithal eşyasının gerçekte ödenen veya ödenecek fiyatına ilave edilmesi gerekir.</w:t>
      </w:r>
    </w:p>
    <w:p w:rsidR="0047173C" w:rsidRPr="0037050D" w:rsidRDefault="0047173C" w:rsidP="00210F12">
      <w:pPr>
        <w:ind w:left="708"/>
        <w:jc w:val="both"/>
      </w:pPr>
    </w:p>
    <w:p w:rsidR="0047173C" w:rsidRDefault="0047173C" w:rsidP="00210F12">
      <w:pPr>
        <w:pStyle w:val="ListParagraph"/>
        <w:spacing w:after="0"/>
        <w:jc w:val="center"/>
        <w:rPr>
          <w:b/>
        </w:rPr>
      </w:pPr>
      <w:r w:rsidRPr="00166491">
        <w:rPr>
          <w:b/>
        </w:rPr>
        <w:t>TAV</w:t>
      </w:r>
      <w:r>
        <w:rPr>
          <w:b/>
        </w:rPr>
        <w:t>S</w:t>
      </w:r>
      <w:r w:rsidRPr="00166491">
        <w:rPr>
          <w:b/>
        </w:rPr>
        <w:t>İYE 4.7</w:t>
      </w:r>
    </w:p>
    <w:p w:rsidR="0047173C" w:rsidRPr="00210F12" w:rsidRDefault="0047173C" w:rsidP="00210F12">
      <w:pPr>
        <w:pStyle w:val="ListParagraph"/>
        <w:spacing w:after="0"/>
        <w:ind w:left="284"/>
        <w:jc w:val="both"/>
        <w:rPr>
          <w:b/>
        </w:rPr>
      </w:pPr>
      <w:r w:rsidRPr="00166491">
        <w:rPr>
          <w:b/>
        </w:rPr>
        <w:t xml:space="preserve">(Hak sahibi tarafından, eşyanın dünya çapında üretimi, pazarlanması ve dağıtım hakları verilen </w:t>
      </w:r>
      <w:r>
        <w:rPr>
          <w:b/>
        </w:rPr>
        <w:t>satıcıya</w:t>
      </w:r>
      <w:r w:rsidRPr="00166491">
        <w:rPr>
          <w:b/>
        </w:rPr>
        <w:t>, ithalatçının ithal ülkesinde kullandığı pazarlama ve dağıtım hakkı için ödemek zorunda olduğu royalti)</w:t>
      </w:r>
    </w:p>
    <w:p w:rsidR="0047173C" w:rsidRDefault="0047173C" w:rsidP="00210F12">
      <w:pPr>
        <w:pStyle w:val="ListParagraph"/>
        <w:numPr>
          <w:ilvl w:val="0"/>
          <w:numId w:val="24"/>
        </w:numPr>
        <w:spacing w:before="0" w:beforeAutospacing="0" w:after="0" w:afterAutospacing="0"/>
        <w:ind w:left="709" w:hanging="425"/>
        <w:contextualSpacing/>
        <w:jc w:val="both"/>
      </w:pPr>
      <w:r w:rsidRPr="0037050D">
        <w:t>Her ikisi de ihracat ülkesi X’de yerleşik olan plak şirketi sahibi R ve</w:t>
      </w:r>
      <w:r>
        <w:t xml:space="preserve"> sanatçı A arasında bir sözleşm</w:t>
      </w:r>
      <w:r w:rsidRPr="0037050D">
        <w:t>e imzalanmıştır.</w:t>
      </w:r>
      <w:r>
        <w:t xml:space="preserve"> </w:t>
      </w:r>
      <w:r w:rsidRPr="0037050D">
        <w:t>Sözleşmeye göre, A dünya çapında üretim, pazarlama ve dağıtım hakkının devrinden dolayı perakende olarak satılan her plağı için royalti ödemesi alacaktır. R, A tarafından gerçekleştirilen performansa dair plakların I’ya temin edilmesi ve ithal ülkesinde tekrar satılması amacıyla ithalatçı I ile dağıtım ve satış sözleşmesi imzalamıştır. Bu sözleşmenin bir parçası olarak R, plakların ithal ülkesindeki pazarlama</w:t>
      </w:r>
      <w:r>
        <w:t xml:space="preserve"> </w:t>
      </w:r>
      <w:r w:rsidRPr="0037050D">
        <w:t xml:space="preserve">ve dağıtım haklarını I’ya devretmiş ve bunun karşılığı olarak satın alınan ve ithal edilen her bir </w:t>
      </w:r>
      <w:r>
        <w:t>plağın perakende satışından %10’</w:t>
      </w:r>
      <w:r w:rsidRPr="0037050D">
        <w:t>luk bir royalti ödemesi yapmasını I’dan talep etmiştir. I, %</w:t>
      </w:r>
      <w:r>
        <w:t>10’</w:t>
      </w:r>
      <w:r w:rsidRPr="0037050D">
        <w:t>luk ödemeyi R’ye yapmıştır.</w:t>
      </w:r>
    </w:p>
    <w:p w:rsidR="0047173C" w:rsidRPr="0037050D" w:rsidRDefault="0047173C" w:rsidP="00210F12">
      <w:pPr>
        <w:pStyle w:val="ListParagraph"/>
        <w:spacing w:before="0" w:beforeAutospacing="0" w:after="0" w:afterAutospacing="0"/>
        <w:ind w:left="709"/>
        <w:contextualSpacing/>
        <w:jc w:val="both"/>
      </w:pPr>
    </w:p>
    <w:p w:rsidR="0047173C" w:rsidRPr="00166491" w:rsidRDefault="0047173C" w:rsidP="00210F12">
      <w:pPr>
        <w:pStyle w:val="ListParagraph"/>
        <w:numPr>
          <w:ilvl w:val="0"/>
          <w:numId w:val="24"/>
        </w:numPr>
        <w:spacing w:before="0" w:beforeAutospacing="0" w:after="0" w:afterAutospacing="0"/>
        <w:ind w:left="709" w:hanging="425"/>
        <w:contextualSpacing/>
        <w:jc w:val="both"/>
      </w:pPr>
      <w:r w:rsidRPr="0037050D">
        <w:t>Gümrük Kıymeti Teknik Komitesi aşağıdaki görüşü açıklamıştır.</w:t>
      </w:r>
    </w:p>
    <w:p w:rsidR="0047173C" w:rsidRDefault="0047173C" w:rsidP="00210F12">
      <w:pPr>
        <w:ind w:left="709"/>
        <w:jc w:val="both"/>
      </w:pPr>
      <w:r w:rsidRPr="0037050D">
        <w:t>Royalti ödemesi satış koşuludur çünkü I bu ödemeyi R ile imzaladığı dağıtım ve sa</w:t>
      </w:r>
      <w:r>
        <w:t>tış sözleşmesinin bir sonucu ola</w:t>
      </w:r>
      <w:r w:rsidRPr="0037050D">
        <w:t>rak yapmaktadır.</w:t>
      </w:r>
      <w:r>
        <w:t xml:space="preserve"> </w:t>
      </w:r>
      <w:r w:rsidRPr="0037050D">
        <w:t>I, R’n</w:t>
      </w:r>
      <w:r>
        <w:t>i</w:t>
      </w:r>
      <w:r w:rsidRPr="0037050D">
        <w:t>n talep ettiği koşullara uymasaydı R ticari çıkarlarını korumak amacıyla I’ya plakları satmazdı.</w:t>
      </w:r>
    </w:p>
    <w:p w:rsidR="0047173C" w:rsidRDefault="0047173C" w:rsidP="00210F12">
      <w:pPr>
        <w:ind w:left="709"/>
        <w:jc w:val="both"/>
      </w:pPr>
    </w:p>
    <w:p w:rsidR="0047173C" w:rsidRDefault="0047173C" w:rsidP="00210F12">
      <w:pPr>
        <w:ind w:left="709"/>
        <w:jc w:val="both"/>
      </w:pPr>
      <w:r w:rsidRPr="0037050D">
        <w:t>Royalti ödemesi kıymeti tespit edilecek eşyaya aittir. Zira ödeme ithal edilen eşyanın pazarlanması ve dağıtım hakkı için yapılmakta ve royalti ödemesinin miktarı söz konusu plakların gerçek satış fiyatına bağlı olarak farklılık göstermektedir.</w:t>
      </w:r>
    </w:p>
    <w:p w:rsidR="0047173C" w:rsidRDefault="0047173C" w:rsidP="00210F12">
      <w:pPr>
        <w:ind w:left="709"/>
        <w:jc w:val="both"/>
      </w:pPr>
    </w:p>
    <w:p w:rsidR="0047173C" w:rsidRDefault="0047173C" w:rsidP="00210F12">
      <w:pPr>
        <w:ind w:left="709"/>
        <w:jc w:val="both"/>
      </w:pPr>
      <w:r w:rsidRPr="0037050D">
        <w:t>A</w:t>
      </w:r>
      <w:r>
        <w:t>’nın dünya çapında plak satış</w:t>
      </w:r>
      <w:r w:rsidRPr="0037050D">
        <w:t>ının karşılığı olarak, R’nin A’ya ödemek zorunda olduğu royalti mikt</w:t>
      </w:r>
      <w:r>
        <w:t>arı R ile I arasında imzalanan</w:t>
      </w:r>
      <w:r w:rsidRPr="0037050D">
        <w:t xml:space="preserve"> sözleşme ile ilintili değildir. I ödemeyi direkt olarak satıcıya yapmakta olup R’nin brüt geliri nasıl değerlendireceği I’yı ilgilendirmemektedir. Bu nedenle %10 r</w:t>
      </w:r>
      <w:r>
        <w:t>oyalti ödemesi gerçekte ödenen v</w:t>
      </w:r>
      <w:r w:rsidRPr="0037050D">
        <w:t>eya ödenecek fiyata ilave edilmelidir.</w:t>
      </w:r>
    </w:p>
    <w:p w:rsidR="0047173C" w:rsidRPr="0037050D" w:rsidRDefault="0047173C" w:rsidP="00210F12">
      <w:pPr>
        <w:ind w:left="720"/>
        <w:jc w:val="both"/>
      </w:pPr>
    </w:p>
    <w:p w:rsidR="0047173C" w:rsidRPr="00BB1B2C" w:rsidRDefault="0047173C" w:rsidP="00210F12">
      <w:pPr>
        <w:ind w:left="720"/>
        <w:jc w:val="center"/>
        <w:rPr>
          <w:b/>
        </w:rPr>
      </w:pPr>
      <w:r w:rsidRPr="00BB1B2C">
        <w:rPr>
          <w:b/>
        </w:rPr>
        <w:t>TAVSİYE 4.8</w:t>
      </w:r>
    </w:p>
    <w:p w:rsidR="0047173C" w:rsidRDefault="0047173C" w:rsidP="00210F12">
      <w:pPr>
        <w:ind w:left="284"/>
        <w:jc w:val="both"/>
        <w:rPr>
          <w:b/>
        </w:rPr>
      </w:pPr>
      <w:r>
        <w:rPr>
          <w:b/>
        </w:rPr>
        <w:t>(İ</w:t>
      </w:r>
      <w:r w:rsidRPr="00BB1B2C">
        <w:rPr>
          <w:b/>
        </w:rPr>
        <w:t>thalatçının ticari marka kullanım hakkı için lisans sahib</w:t>
      </w:r>
      <w:r>
        <w:rPr>
          <w:b/>
        </w:rPr>
        <w:t>i üçüncü kişiye ödediği royalti</w:t>
      </w:r>
      <w:r w:rsidRPr="00BB1B2C">
        <w:rPr>
          <w:b/>
        </w:rPr>
        <w:t>)</w:t>
      </w:r>
    </w:p>
    <w:p w:rsidR="0047173C" w:rsidRPr="00BB1B2C" w:rsidRDefault="0047173C" w:rsidP="00210F12">
      <w:pPr>
        <w:ind w:left="720"/>
        <w:jc w:val="both"/>
        <w:rPr>
          <w:b/>
        </w:rPr>
      </w:pPr>
    </w:p>
    <w:p w:rsidR="0047173C" w:rsidRDefault="0047173C" w:rsidP="00210F12">
      <w:pPr>
        <w:pStyle w:val="ListParagraph"/>
        <w:numPr>
          <w:ilvl w:val="0"/>
          <w:numId w:val="25"/>
        </w:numPr>
        <w:spacing w:before="0" w:beforeAutospacing="0" w:after="0" w:afterAutospacing="0"/>
        <w:ind w:left="709" w:hanging="425"/>
        <w:contextualSpacing/>
        <w:jc w:val="both"/>
      </w:pPr>
      <w:r w:rsidRPr="0037050D">
        <w:t>İthalatçı I, X ülkesinde yerleşik lisans sahibi L ile bir lisans/royalti sözleşmesi imzalar. Buna göre I, L’nin ticari markasını taşıyan ve ithal ülkesine ithal edilen her bir çift ayakkabı için L</w:t>
      </w:r>
      <w:r>
        <w:t>’ye sabit</w:t>
      </w:r>
      <w:r w:rsidRPr="0037050D">
        <w:t xml:space="preserve"> bir miktar royalti ödeyecektir. Lisans sahibi L, ticari markaya ilişkin sanat ve tasarım çalışmaları sağlamaktadır.</w:t>
      </w:r>
      <w:r>
        <w:t xml:space="preserve"> </w:t>
      </w:r>
      <w:r w:rsidRPr="0037050D">
        <w:t>İthalatçı I, X ülkesinde yerleşik üretici M ile başka bir sözleşme imzalar. Buna göre I,</w:t>
      </w:r>
      <w:r>
        <w:t xml:space="preserve"> </w:t>
      </w:r>
      <w:r w:rsidRPr="0037050D">
        <w:t>L tarafından sağlanan sanat ve tasarım çalışmalarını M’ye iletecek ve üzerinde M tarafından L’nin ticari markası tutturulmuş ayakkabıları satın alacaktır. M, L tarafından lisans hakkı verilmiş ruhsatlı bir üretici değildir. Bu satış sözleşmesinde royalti ödemesine dair bir atıf yoktur. Üretici, ithalatçı ve lisans sahibi arasında münasebet yoktur.</w:t>
      </w:r>
    </w:p>
    <w:p w:rsidR="0047173C" w:rsidRPr="0037050D" w:rsidRDefault="0047173C" w:rsidP="00210F12">
      <w:pPr>
        <w:ind w:left="720"/>
        <w:jc w:val="both"/>
      </w:pPr>
    </w:p>
    <w:p w:rsidR="0047173C" w:rsidRDefault="0047173C" w:rsidP="00210F12">
      <w:pPr>
        <w:pStyle w:val="ListParagraph"/>
        <w:numPr>
          <w:ilvl w:val="0"/>
          <w:numId w:val="25"/>
        </w:numPr>
        <w:spacing w:before="0" w:beforeAutospacing="0" w:after="0" w:afterAutospacing="0"/>
        <w:ind w:left="709" w:hanging="425"/>
        <w:contextualSpacing/>
        <w:jc w:val="both"/>
      </w:pPr>
      <w:r w:rsidRPr="0037050D">
        <w:t>Gümrük Kıymeti Teknik Komitesi aşağıdaki görüşü açıklamıştır.</w:t>
      </w:r>
    </w:p>
    <w:p w:rsidR="0047173C" w:rsidRDefault="0047173C" w:rsidP="00210F12">
      <w:pPr>
        <w:pStyle w:val="ListParagraph"/>
      </w:pPr>
    </w:p>
    <w:p w:rsidR="0047173C" w:rsidRDefault="0047173C" w:rsidP="00210F12">
      <w:pPr>
        <w:pStyle w:val="ListParagraph"/>
        <w:spacing w:before="0" w:beforeAutospacing="0" w:after="0" w:afterAutospacing="0"/>
        <w:ind w:left="709"/>
        <w:contextualSpacing/>
        <w:jc w:val="both"/>
      </w:pPr>
      <w:r w:rsidRPr="0037050D">
        <w:t>İthalatçı ticari marka kullanım hakkı için royalti ödemek zorundadır. Bu zorunluluk eşyanın ithal ülkesine ihracı amacıyla yapılan satış sözleşmesinden bağımsız ayrı bir sözleşmeden doğmaktadır. Eşya satıcısından başka bir sözleşme altında satın alınmaktadır ve royalti ödemesi eşyanın satış koşulu değildir.</w:t>
      </w:r>
      <w:r>
        <w:t xml:space="preserve"> </w:t>
      </w:r>
      <w:r w:rsidRPr="0037050D">
        <w:t>Dolayısıyla bu olayda royalti ödemesi gerçekte ödenen veya ödenecek fiyata ilave edilmeyecektir.</w:t>
      </w:r>
    </w:p>
    <w:p w:rsidR="0047173C" w:rsidRDefault="0047173C" w:rsidP="00210F12">
      <w:pPr>
        <w:pStyle w:val="ListParagraph"/>
        <w:spacing w:before="0" w:beforeAutospacing="0" w:after="0" w:afterAutospacing="0"/>
        <w:ind w:left="709"/>
        <w:contextualSpacing/>
        <w:jc w:val="both"/>
      </w:pPr>
    </w:p>
    <w:p w:rsidR="0047173C" w:rsidRPr="0037050D" w:rsidRDefault="0047173C" w:rsidP="00210F12">
      <w:pPr>
        <w:pStyle w:val="ListParagraph"/>
        <w:spacing w:before="0" w:beforeAutospacing="0" w:after="0" w:afterAutospacing="0"/>
        <w:ind w:left="709"/>
        <w:contextualSpacing/>
        <w:jc w:val="both"/>
      </w:pPr>
      <w:r w:rsidRPr="0037050D">
        <w:t>Ticari markaya ait olan ve L tarafından temin edilen sanat ve tasarım çalışmasının 8.1 (b)</w:t>
      </w:r>
      <w:r>
        <w:t xml:space="preserve"> </w:t>
      </w:r>
      <w:r w:rsidRPr="0037050D">
        <w:t>maddesi hükümlerine göre vergiye tabi olup olmayacağı başka bir değerlendirme konusudur.</w:t>
      </w:r>
    </w:p>
    <w:p w:rsidR="0047173C" w:rsidRPr="0037050D" w:rsidRDefault="0047173C" w:rsidP="00210F12">
      <w:pPr>
        <w:ind w:left="720"/>
        <w:jc w:val="both"/>
      </w:pPr>
    </w:p>
    <w:p w:rsidR="0047173C" w:rsidRPr="00C17CDC" w:rsidRDefault="0047173C" w:rsidP="00210F12">
      <w:pPr>
        <w:ind w:left="720"/>
        <w:jc w:val="center"/>
        <w:rPr>
          <w:b/>
        </w:rPr>
      </w:pPr>
      <w:r w:rsidRPr="00C17CDC">
        <w:rPr>
          <w:b/>
        </w:rPr>
        <w:t>TAVSİYE 4.9</w:t>
      </w:r>
    </w:p>
    <w:p w:rsidR="0047173C" w:rsidRDefault="0047173C" w:rsidP="00210F12">
      <w:pPr>
        <w:ind w:left="426" w:hanging="142"/>
        <w:jc w:val="both"/>
        <w:rPr>
          <w:b/>
        </w:rPr>
      </w:pPr>
      <w:r w:rsidRPr="00C17CDC">
        <w:rPr>
          <w:b/>
        </w:rPr>
        <w:t>( İthal ülkesinde lisanslı karışımı üretme, kullanma ve satma hakkı ile bu karışımın ithal ülkesinde üretilmesi ve satışıyla ilgili olarak ticari markayı kullanma hakkı için ithalatçının satıcıya (ticari marka hak sahibi) ödediği royalti)</w:t>
      </w:r>
    </w:p>
    <w:p w:rsidR="0047173C" w:rsidRPr="00C17CDC" w:rsidRDefault="0047173C" w:rsidP="00210F12">
      <w:pPr>
        <w:ind w:left="720"/>
        <w:jc w:val="both"/>
        <w:rPr>
          <w:b/>
        </w:rPr>
      </w:pPr>
    </w:p>
    <w:p w:rsidR="0047173C" w:rsidRDefault="0047173C" w:rsidP="00210F12">
      <w:pPr>
        <w:pStyle w:val="ListParagraph"/>
        <w:numPr>
          <w:ilvl w:val="0"/>
          <w:numId w:val="26"/>
        </w:numPr>
        <w:spacing w:before="0" w:beforeAutospacing="0" w:after="0" w:afterAutospacing="0"/>
        <w:ind w:left="709" w:hanging="425"/>
        <w:contextualSpacing/>
        <w:jc w:val="both"/>
      </w:pPr>
      <w:r w:rsidRPr="0037050D">
        <w:t>İthalatçı şirket ile veterinerlik ürünleri üreticisi ve aynı zamanda ticari marka sahibi kişi arasında bir sözleşme imzalanmıştır. Sözleşmeye göre ür</w:t>
      </w:r>
      <w:r>
        <w:t>etici, ithala</w:t>
      </w:r>
      <w:r w:rsidRPr="0037050D">
        <w:t>tçı firmaya “lisanslı preparat”ın üretilmesi, kullanılması ve ithalatçı ülkede satılmasına ilişkin münhasır bir hak vermiştir.</w:t>
      </w:r>
      <w:r>
        <w:t xml:space="preserve"> </w:t>
      </w:r>
      <w:r w:rsidRPr="0037050D">
        <w:t>Veterinerlik kullanımına uygun formda ithal kortizon içeren lisanslı preparatlar, ithalatçıya üretici tarafından ya da onun adına üçüncü bir kişi tarafından temin edilen büyük miktarlardaki kortizondan yapılmaktadır. Kortizon farklı üreticilerden temin edilebilen ve lisanslı preparatın ana girdi maddelerinden biri olan standart, patente konu olmayan ve alevlendirici olmayan ara bir maddedir.</w:t>
      </w:r>
    </w:p>
    <w:p w:rsidR="0047173C" w:rsidRDefault="0047173C" w:rsidP="00210F12">
      <w:pPr>
        <w:pStyle w:val="ListParagraph"/>
        <w:spacing w:before="0" w:beforeAutospacing="0" w:after="0" w:afterAutospacing="0"/>
        <w:ind w:left="709"/>
        <w:contextualSpacing/>
        <w:jc w:val="both"/>
      </w:pPr>
    </w:p>
    <w:p w:rsidR="0047173C" w:rsidRDefault="0047173C" w:rsidP="00210F12">
      <w:pPr>
        <w:pStyle w:val="ListParagraph"/>
        <w:spacing w:before="0" w:beforeAutospacing="0" w:after="0" w:afterAutospacing="0"/>
        <w:ind w:left="709"/>
        <w:contextualSpacing/>
        <w:jc w:val="both"/>
      </w:pPr>
      <w:r w:rsidRPr="0037050D">
        <w:t>Üretici, lisanslı preparatın ithalatçı ülkede üretimi ve satışıyla ilgili olarak ticari markanın münhasıran kullanım hakkı ve lisansını ithalatçı firmaya vermiştir.</w:t>
      </w:r>
    </w:p>
    <w:p w:rsidR="0047173C" w:rsidRDefault="0047173C" w:rsidP="00210F12">
      <w:pPr>
        <w:pStyle w:val="ListParagraph"/>
        <w:spacing w:before="0" w:beforeAutospacing="0" w:after="0" w:afterAutospacing="0"/>
        <w:ind w:left="709"/>
        <w:contextualSpacing/>
        <w:jc w:val="both"/>
      </w:pPr>
    </w:p>
    <w:p w:rsidR="0047173C" w:rsidRDefault="0047173C" w:rsidP="00210F12">
      <w:pPr>
        <w:pStyle w:val="ListParagraph"/>
        <w:spacing w:before="0" w:beforeAutospacing="0" w:after="0" w:afterAutospacing="0"/>
        <w:ind w:left="709"/>
        <w:contextualSpacing/>
        <w:jc w:val="both"/>
      </w:pPr>
      <w:r w:rsidRPr="0037050D">
        <w:t>Sözleşmeye göre, lisanslı preparatın herhangi bir takvim yılı içinde ilk 2 milyon birim net satışından %8’lik pay ile aynı yıl içinde bir sonraki 2 milyonluk birim net satışından %9’luk payın, ithalatçı tarafından üreticiye royalti ödemesi olarak yapılması gerekmektedir.</w:t>
      </w:r>
      <w:r>
        <w:t xml:space="preserve"> Her yıl baş</w:t>
      </w:r>
      <w:r w:rsidRPr="0037050D">
        <w:t>ında ayrıca asgari 100.000 birim fiyatlık royalti de ayrıca ödenecektir. Sözleşm</w:t>
      </w:r>
      <w:r>
        <w:t>ede belirtilen koşullar altında</w:t>
      </w:r>
      <w:r w:rsidRPr="0037050D">
        <w:t xml:space="preserve">, her iki taraf da ithalatçı firmanın söz konusu münhasır haklarını, münhasır olmayan haklara dönüştürme yetkisine sahiptir. Bu durumda asgari royalti ödemesi %25 oranında ya da diğer bazı hallerde %50 oranında indirilecektir. Lisanslı preparatın satışına dayalı royaltiler de bazı hallerde azaltılabilecektir. </w:t>
      </w:r>
    </w:p>
    <w:p w:rsidR="0047173C" w:rsidRDefault="0047173C" w:rsidP="00210F12">
      <w:pPr>
        <w:pStyle w:val="ListParagraph"/>
        <w:spacing w:before="0" w:beforeAutospacing="0" w:after="0" w:afterAutospacing="0"/>
        <w:ind w:left="709"/>
        <w:contextualSpacing/>
        <w:jc w:val="both"/>
      </w:pPr>
    </w:p>
    <w:p w:rsidR="0047173C" w:rsidRPr="0037050D" w:rsidRDefault="0047173C" w:rsidP="00210F12">
      <w:pPr>
        <w:pStyle w:val="ListParagraph"/>
        <w:spacing w:before="0" w:beforeAutospacing="0" w:after="0" w:afterAutospacing="0"/>
        <w:ind w:left="709"/>
        <w:contextualSpacing/>
        <w:jc w:val="both"/>
      </w:pPr>
      <w:r w:rsidRPr="0037050D">
        <w:t>Son olarak, lisanslı preparatın satışına dayanan royaltilerin her çeyrek yılı takip eden 60 gün içinde ödenmesi gerekmektedir.</w:t>
      </w:r>
    </w:p>
    <w:p w:rsidR="0047173C" w:rsidRPr="0037050D" w:rsidRDefault="0047173C" w:rsidP="00210F12">
      <w:pPr>
        <w:jc w:val="both"/>
      </w:pPr>
    </w:p>
    <w:p w:rsidR="0047173C" w:rsidRDefault="0047173C" w:rsidP="00210F12">
      <w:pPr>
        <w:pStyle w:val="ListParagraph"/>
        <w:numPr>
          <w:ilvl w:val="0"/>
          <w:numId w:val="26"/>
        </w:numPr>
        <w:spacing w:before="0" w:beforeAutospacing="0" w:after="0" w:afterAutospacing="0"/>
        <w:ind w:left="709" w:hanging="425"/>
        <w:contextualSpacing/>
        <w:jc w:val="both"/>
      </w:pPr>
      <w:r w:rsidRPr="0037050D">
        <w:t>Gümrük Kıymeti Teknik Komitesi aşağıdaki görüşü açıklamıştır.</w:t>
      </w:r>
    </w:p>
    <w:p w:rsidR="0047173C" w:rsidRPr="00BF1D0A" w:rsidRDefault="0047173C" w:rsidP="00210F12">
      <w:pPr>
        <w:pStyle w:val="ListParagraph"/>
        <w:spacing w:before="0" w:beforeAutospacing="0" w:after="0" w:afterAutospacing="0"/>
        <w:ind w:left="709"/>
        <w:contextualSpacing/>
        <w:jc w:val="both"/>
      </w:pPr>
    </w:p>
    <w:p w:rsidR="0047173C" w:rsidRPr="0037050D" w:rsidRDefault="0047173C" w:rsidP="00210F12">
      <w:pPr>
        <w:ind w:left="709"/>
        <w:jc w:val="both"/>
      </w:pPr>
      <w:r w:rsidRPr="0037050D">
        <w:t>Royalti ödemesi ithal edilen eşyayı içeren lisanslı preparatın üretim hakkı ve bunu takiben lisanslı preparat için ticari markanın kullanım hakkı için yapılmaktadır. İthal edilen eşya standart, patente konu olmayan ve alevlendirici olmayan aracı bir maddedir. Ticari markanın kullanımı bu nedenle kıymeti belirlenen eşyaya ait değildir. Royalti ödemesi ithal edilen eşyanın ihraç amacıyla satışında değil ancak lisanslı preparatın ithal ülkesinde üretimi ve satışında bir koşuldur.</w:t>
      </w:r>
      <w:r>
        <w:t xml:space="preserve"> </w:t>
      </w:r>
      <w:r w:rsidRPr="0037050D">
        <w:t>Dolayısıyla royalti ödemesinin gerekte ödenen veya ödenecek fiyata ilave edilmemesi gerekir.</w:t>
      </w:r>
    </w:p>
    <w:p w:rsidR="0047173C" w:rsidRDefault="0047173C" w:rsidP="00210F12">
      <w:pPr>
        <w:ind w:left="720"/>
        <w:jc w:val="both"/>
      </w:pPr>
    </w:p>
    <w:p w:rsidR="0047173C" w:rsidRDefault="0047173C" w:rsidP="00210F12">
      <w:pPr>
        <w:ind w:left="720"/>
        <w:jc w:val="both"/>
      </w:pPr>
    </w:p>
    <w:p w:rsidR="0047173C" w:rsidRPr="0037050D" w:rsidRDefault="0047173C" w:rsidP="00210F12">
      <w:pPr>
        <w:ind w:left="720"/>
        <w:jc w:val="both"/>
      </w:pPr>
    </w:p>
    <w:p w:rsidR="0047173C" w:rsidRPr="00BF1D0A" w:rsidRDefault="0047173C" w:rsidP="00210F12">
      <w:pPr>
        <w:ind w:left="720"/>
        <w:jc w:val="center"/>
        <w:rPr>
          <w:b/>
        </w:rPr>
      </w:pPr>
      <w:r w:rsidRPr="00BF1D0A">
        <w:rPr>
          <w:b/>
        </w:rPr>
        <w:t>TAVSİYE 4.10</w:t>
      </w:r>
    </w:p>
    <w:p w:rsidR="0047173C" w:rsidRDefault="0047173C" w:rsidP="00210F12">
      <w:pPr>
        <w:ind w:left="284"/>
        <w:jc w:val="both"/>
        <w:rPr>
          <w:b/>
        </w:rPr>
      </w:pPr>
      <w:r>
        <w:rPr>
          <w:b/>
        </w:rPr>
        <w:t>(İ</w:t>
      </w:r>
      <w:r w:rsidRPr="00BF1D0A">
        <w:rPr>
          <w:b/>
        </w:rPr>
        <w:t>thalatçının, ticari markalı ürün içeren ithal kumaşların tekrar satılması hakkı için satıcıya ( ticari marka hak sahibi) ödediği royalti)</w:t>
      </w:r>
    </w:p>
    <w:p w:rsidR="0047173C" w:rsidRPr="00BF1D0A" w:rsidRDefault="0047173C" w:rsidP="00210F12">
      <w:pPr>
        <w:ind w:left="720"/>
        <w:jc w:val="both"/>
        <w:rPr>
          <w:b/>
        </w:rPr>
      </w:pPr>
    </w:p>
    <w:p w:rsidR="0047173C" w:rsidRDefault="0047173C" w:rsidP="00210F12">
      <w:pPr>
        <w:pStyle w:val="ListParagraph"/>
        <w:numPr>
          <w:ilvl w:val="0"/>
          <w:numId w:val="27"/>
        </w:numPr>
        <w:spacing w:before="0" w:beforeAutospacing="0" w:after="0" w:afterAutospacing="0"/>
        <w:ind w:left="709" w:hanging="425"/>
        <w:contextualSpacing/>
        <w:jc w:val="both"/>
      </w:pPr>
      <w:r w:rsidRPr="0037050D">
        <w:t>P ülkesinde yerleşik olan ithalatçı I, X ülkesinde yerleşik üretici M</w:t>
      </w:r>
      <w:r>
        <w:t>’den giysi s</w:t>
      </w:r>
      <w:r w:rsidRPr="0037050D">
        <w:t>atın almıştır. M aynı zamanda bazı karikatür karakterlerine ait olan ticari markanın da sahibidir. I ile M arasında imzalanan lisans sözleşmesine göre M giysileri sadece I için üretecek, ithalattan önce üzerlerine karikatür karakterlerini ve ticari markayı tutturacak ve I’da bunları P ülkesinde tekrar satacaktır. Bu hakkın karşılığı olarak I, M’ye giysi fiyatına ilave olarak, kar</w:t>
      </w:r>
      <w:r>
        <w:t>i</w:t>
      </w:r>
      <w:r w:rsidRPr="0037050D">
        <w:t>katür karakterlerinin ve ticari markanın bulunduğu giysilerinin net satış fiyatının belli bir oranında lisans ödemesinde bulunacaktır.</w:t>
      </w:r>
    </w:p>
    <w:p w:rsidR="0047173C" w:rsidRDefault="0047173C" w:rsidP="00210F12">
      <w:pPr>
        <w:pStyle w:val="ListParagraph"/>
        <w:spacing w:before="0" w:beforeAutospacing="0" w:after="0" w:afterAutospacing="0"/>
        <w:ind w:left="709"/>
        <w:contextualSpacing/>
        <w:jc w:val="both"/>
      </w:pPr>
    </w:p>
    <w:p w:rsidR="0047173C" w:rsidRDefault="0047173C" w:rsidP="00210F12">
      <w:pPr>
        <w:pStyle w:val="ListParagraph"/>
        <w:numPr>
          <w:ilvl w:val="0"/>
          <w:numId w:val="27"/>
        </w:numPr>
        <w:spacing w:before="0" w:beforeAutospacing="0" w:after="0" w:afterAutospacing="0"/>
        <w:ind w:left="709" w:hanging="425"/>
        <w:contextualSpacing/>
        <w:jc w:val="both"/>
      </w:pPr>
      <w:r w:rsidRPr="0037050D">
        <w:t>Gümrük Kıymeti Teknik Komitesi aşağıdaki görüşü açıklamıştır.</w:t>
      </w:r>
    </w:p>
    <w:p w:rsidR="0047173C" w:rsidRDefault="0047173C" w:rsidP="00210F12">
      <w:pPr>
        <w:contextualSpacing/>
        <w:jc w:val="both"/>
      </w:pPr>
    </w:p>
    <w:p w:rsidR="0047173C" w:rsidRPr="0037050D" w:rsidRDefault="0047173C" w:rsidP="00210F12">
      <w:pPr>
        <w:ind w:left="708"/>
        <w:contextualSpacing/>
        <w:jc w:val="both"/>
      </w:pPr>
      <w:r>
        <w:t>Ticari markaya konu materyal i</w:t>
      </w:r>
      <w:r w:rsidRPr="0037050D">
        <w:t>çeren giysilerin tekrar satılması hakkı için aranan lisans ödemesi, ithal edilen eşyaya aittir ve bu eşyanın satış koşuludur.</w:t>
      </w:r>
      <w:r>
        <w:t xml:space="preserve"> İthal edilen giysiler üzerleri</w:t>
      </w:r>
      <w:r w:rsidRPr="0037050D">
        <w:t>nde karikatür karakterleri basılı olmadan ve ticari markası olmadan satın alınamaz ve tekrar satılamaz. Bu nedenle lisans ücreti gerçekte ödenen veya ödenecek fiyata ilave edilmelidir.</w:t>
      </w:r>
    </w:p>
    <w:p w:rsidR="0047173C" w:rsidRPr="0037050D" w:rsidRDefault="0047173C" w:rsidP="00210F12">
      <w:pPr>
        <w:ind w:left="720"/>
        <w:jc w:val="both"/>
      </w:pPr>
    </w:p>
    <w:p w:rsidR="0047173C" w:rsidRPr="00BF1D0A" w:rsidRDefault="0047173C" w:rsidP="00210F12">
      <w:pPr>
        <w:ind w:left="720"/>
        <w:jc w:val="center"/>
        <w:rPr>
          <w:b/>
        </w:rPr>
      </w:pPr>
      <w:r w:rsidRPr="00BF1D0A">
        <w:rPr>
          <w:b/>
        </w:rPr>
        <w:t>TAVSİYE 4.11</w:t>
      </w:r>
    </w:p>
    <w:p w:rsidR="0047173C" w:rsidRDefault="0047173C" w:rsidP="00210F12">
      <w:pPr>
        <w:ind w:left="284"/>
        <w:jc w:val="both"/>
        <w:rPr>
          <w:b/>
        </w:rPr>
      </w:pPr>
      <w:r w:rsidRPr="00BF1D0A">
        <w:rPr>
          <w:b/>
        </w:rPr>
        <w:t>(</w:t>
      </w:r>
      <w:r>
        <w:rPr>
          <w:b/>
        </w:rPr>
        <w:t>İ</w:t>
      </w:r>
      <w:r w:rsidRPr="00BF1D0A">
        <w:rPr>
          <w:b/>
        </w:rPr>
        <w:t>thalatçının, aralarında münasebet bulunan ticari marka sahibine, ithal edilen eşyaya tutturulan ticari markayı kullanma hakkı için ödediği royalti. Ticari marka sahibinin ayrıca satıcı</w:t>
      </w:r>
      <w:r>
        <w:rPr>
          <w:b/>
        </w:rPr>
        <w:t xml:space="preserve"> </w:t>
      </w:r>
      <w:r w:rsidRPr="00BF1D0A">
        <w:rPr>
          <w:b/>
        </w:rPr>
        <w:t>(imalatçı) ile arasında bir münasebet bulunmaktadır)</w:t>
      </w:r>
    </w:p>
    <w:p w:rsidR="0047173C" w:rsidRPr="00BF1D0A" w:rsidRDefault="0047173C" w:rsidP="00210F12">
      <w:pPr>
        <w:ind w:left="720"/>
        <w:jc w:val="both"/>
        <w:rPr>
          <w:b/>
        </w:rPr>
      </w:pPr>
    </w:p>
    <w:p w:rsidR="0047173C" w:rsidRDefault="0047173C" w:rsidP="00210F12">
      <w:pPr>
        <w:pStyle w:val="ListParagraph"/>
        <w:numPr>
          <w:ilvl w:val="0"/>
          <w:numId w:val="28"/>
        </w:numPr>
        <w:spacing w:before="0" w:beforeAutospacing="0" w:after="0" w:afterAutospacing="0"/>
        <w:ind w:left="709" w:hanging="425"/>
        <w:contextualSpacing/>
        <w:jc w:val="both"/>
      </w:pPr>
      <w:r w:rsidRPr="0037050D">
        <w:t>Spor giyim imalatçısı M</w:t>
      </w:r>
      <w:r>
        <w:t xml:space="preserve"> ve ithalatçı I’</w:t>
      </w:r>
      <w:r w:rsidRPr="0037050D">
        <w:t>nın her ikisinin de, spor giyime eklenen ticari markanın haklarına sahip olan ana şirket C ile arasında münasebet</w:t>
      </w:r>
      <w:r>
        <w:t>i vardır. M ve I aras</w:t>
      </w:r>
      <w:r w:rsidRPr="0037050D">
        <w:t>ındaki satış sözleşmesi royalti ödemesini gerektirmemektedir. Bununla beraber I’nın C ile yaptığı ayrı bir anlaşmaya göre M’den satın aldığı spo</w:t>
      </w:r>
      <w:r>
        <w:t>r</w:t>
      </w:r>
      <w:r w:rsidRPr="0037050D">
        <w:t xml:space="preserve"> giyime eklenmiş olan ticari markayı kullanma hakkı için I, C’ye royalti ödemek zorundadır.</w:t>
      </w:r>
      <w:r>
        <w:t xml:space="preserve"> </w:t>
      </w:r>
      <w:r w:rsidRPr="0037050D">
        <w:t>Royalti ithal edilen spor giysi satışının bir koşulu mudur ve ithal edilmiş spor giysisine ait midir?</w:t>
      </w:r>
    </w:p>
    <w:p w:rsidR="0047173C" w:rsidRPr="0037050D" w:rsidRDefault="0047173C" w:rsidP="00210F12">
      <w:pPr>
        <w:jc w:val="both"/>
      </w:pPr>
    </w:p>
    <w:p w:rsidR="0047173C" w:rsidRDefault="0047173C" w:rsidP="00210F12">
      <w:pPr>
        <w:pStyle w:val="ListParagraph"/>
        <w:numPr>
          <w:ilvl w:val="0"/>
          <w:numId w:val="28"/>
        </w:numPr>
        <w:spacing w:before="0" w:beforeAutospacing="0" w:after="0" w:afterAutospacing="0"/>
        <w:ind w:left="709" w:hanging="425"/>
        <w:contextualSpacing/>
        <w:jc w:val="both"/>
      </w:pPr>
      <w:r w:rsidRPr="0037050D">
        <w:t>Gümrük Kıymeti Teknik Komitesi aşağıdaki görüşü açıklamıştır.</w:t>
      </w:r>
    </w:p>
    <w:p w:rsidR="0047173C" w:rsidRDefault="0047173C" w:rsidP="00210F12">
      <w:pPr>
        <w:contextualSpacing/>
        <w:jc w:val="both"/>
      </w:pPr>
    </w:p>
    <w:p w:rsidR="0047173C" w:rsidRDefault="0047173C" w:rsidP="00210F12">
      <w:pPr>
        <w:ind w:left="708"/>
        <w:contextualSpacing/>
        <w:jc w:val="both"/>
      </w:pPr>
      <w:r w:rsidRPr="0037050D">
        <w:t>M ile I arasındaki ticari markalı eşyaları kapsayan satış sözleşmesi royalti ödemeleriyle ilgili özel koşullar içermez. Bunula birlikte, eşyayı satın almanın bir sonucu olarak I, ana şirket C’ye royalti ödemek zorunda olduğu için söz konusu ödeme satışın bir koşuludur. Royalti ödemesi olmadan I ticari markayı kullanma hakkına sahip değildir. Ana şirketle yazılı bir sözleşme olmaması gerçeği I’nın, ana şirketçe istenen bir ödemeyi yapma zorunluluğunu ortadan kaldır</w:t>
      </w:r>
      <w:r>
        <w:t>maz. Yukar</w:t>
      </w:r>
      <w:r w:rsidRPr="0037050D">
        <w:t xml:space="preserve">ıda </w:t>
      </w:r>
      <w:r>
        <w:t>belirtilen sebepler dolayısıyla, ticari marka</w:t>
      </w:r>
      <w:r w:rsidRPr="0037050D">
        <w:t>yı kullanma hakkı için yapılan ödemeler kıymeti tespit edilen eşyaya aittir ve ödeme gerçekte ödenen veya ödenecek fiyata ilave edilmelidir.</w:t>
      </w:r>
    </w:p>
    <w:p w:rsidR="0047173C" w:rsidRPr="0037050D" w:rsidRDefault="0047173C" w:rsidP="00210F12">
      <w:pPr>
        <w:jc w:val="both"/>
      </w:pPr>
    </w:p>
    <w:p w:rsidR="0047173C" w:rsidRPr="00BF1D0A" w:rsidRDefault="0047173C" w:rsidP="00210F12">
      <w:pPr>
        <w:ind w:left="720"/>
        <w:jc w:val="center"/>
        <w:rPr>
          <w:b/>
        </w:rPr>
      </w:pPr>
      <w:r w:rsidRPr="00BF1D0A">
        <w:rPr>
          <w:b/>
        </w:rPr>
        <w:t>TAVSİYE 4.12</w:t>
      </w:r>
    </w:p>
    <w:p w:rsidR="0047173C" w:rsidRDefault="0047173C" w:rsidP="00210F12">
      <w:pPr>
        <w:ind w:left="720"/>
        <w:jc w:val="both"/>
        <w:rPr>
          <w:b/>
        </w:rPr>
      </w:pPr>
      <w:r>
        <w:rPr>
          <w:b/>
        </w:rPr>
        <w:t>(İthalatçının</w:t>
      </w:r>
      <w:r w:rsidRPr="00BF1D0A">
        <w:rPr>
          <w:b/>
        </w:rPr>
        <w:t xml:space="preserve">, ithal edilen eşyaya yerleştirilen teknoloji aracılığıyla </w:t>
      </w:r>
      <w:r>
        <w:rPr>
          <w:b/>
        </w:rPr>
        <w:t>işletilen patentli bir üretim me</w:t>
      </w:r>
      <w:r w:rsidRPr="00BF1D0A">
        <w:rPr>
          <w:b/>
        </w:rPr>
        <w:t>todunun kullanım hakkı için ödediği</w:t>
      </w:r>
      <w:r>
        <w:rPr>
          <w:b/>
        </w:rPr>
        <w:t xml:space="preserve"> </w:t>
      </w:r>
      <w:r w:rsidRPr="00BF1D0A">
        <w:rPr>
          <w:b/>
        </w:rPr>
        <w:t>lisans ücreti)</w:t>
      </w:r>
    </w:p>
    <w:p w:rsidR="0047173C" w:rsidRPr="00BF1D0A" w:rsidRDefault="0047173C" w:rsidP="00210F12">
      <w:pPr>
        <w:ind w:left="720"/>
        <w:jc w:val="both"/>
        <w:rPr>
          <w:b/>
        </w:rPr>
      </w:pPr>
    </w:p>
    <w:p w:rsidR="0047173C" w:rsidRDefault="0047173C" w:rsidP="00210F12">
      <w:pPr>
        <w:pStyle w:val="ListParagraph"/>
        <w:numPr>
          <w:ilvl w:val="0"/>
          <w:numId w:val="30"/>
        </w:numPr>
        <w:spacing w:before="0" w:beforeAutospacing="0" w:after="0" w:afterAutospacing="0"/>
        <w:ind w:left="709" w:hanging="425"/>
        <w:contextualSpacing/>
        <w:jc w:val="both"/>
      </w:pPr>
      <w:r w:rsidRPr="0037050D">
        <w:t>İthalatçı I ve satıcı S hadde fabrikası ekipmanı temini için aralarında satış sözleşmesi imzalamışlardır. Ekipman ithal ülkesinde hali</w:t>
      </w:r>
      <w:r>
        <w:t xml:space="preserve"> </w:t>
      </w:r>
      <w:r w:rsidRPr="0037050D">
        <w:t>hazırda mevcut olan bakır çubuk fabrikasına yerleştirilecektir. Ekipman içine yerleştirilecek olan teknoloji, ekipmanı istenen amaca uygun çalıştıracak olan patentli işletim sistemidir. İthalatçı ekipmanın fiyatından ayrı olarak patentli işletim sistemini kullanma hakkı için ayrıca 15 milyon birim lisans ücreti ödemek zorundadır. Satıcı S, İthalatçı I’dan hem ekipman ücreti hem de lisans ücreti alacak ve daha sonra lisans ücretinin tümünü lisans sahibine gönderecektir.</w:t>
      </w:r>
    </w:p>
    <w:p w:rsidR="0047173C" w:rsidRPr="0037050D" w:rsidRDefault="0047173C" w:rsidP="00210F12">
      <w:pPr>
        <w:jc w:val="both"/>
      </w:pPr>
    </w:p>
    <w:p w:rsidR="0047173C" w:rsidRPr="0037050D" w:rsidRDefault="0047173C" w:rsidP="00210F12">
      <w:pPr>
        <w:pStyle w:val="ListParagraph"/>
        <w:numPr>
          <w:ilvl w:val="0"/>
          <w:numId w:val="30"/>
        </w:numPr>
        <w:spacing w:before="0" w:beforeAutospacing="0" w:after="0" w:afterAutospacing="0"/>
        <w:ind w:left="709" w:hanging="425"/>
        <w:contextualSpacing/>
        <w:jc w:val="both"/>
      </w:pPr>
      <w:r w:rsidRPr="0037050D">
        <w:t>Gümrük Kıymeti Teknik Komitesi aşağıdaki görüşü açıklamıştır.</w:t>
      </w:r>
    </w:p>
    <w:p w:rsidR="0047173C" w:rsidRDefault="0047173C" w:rsidP="00210F12">
      <w:pPr>
        <w:jc w:val="both"/>
      </w:pPr>
    </w:p>
    <w:p w:rsidR="0047173C" w:rsidRPr="0037050D" w:rsidRDefault="0047173C" w:rsidP="00210F12">
      <w:pPr>
        <w:ind w:left="708"/>
        <w:jc w:val="both"/>
      </w:pPr>
      <w:r w:rsidRPr="00CA2EB1">
        <w:t>Lisans ücreti hadde fabrikası ekipmanının içine patentli işletim sistemini çalıştırabilmesi için yerleştirilen teknoloji için ödenmektedir. Ekipman özellikle söz konusu patentli üretim sistemini işletmek üzere satın alınmıştır. Bu nedenle, işletim sistemi için ödenen 15 milyon birim lisans ücreti, kıymeti tespit edilen eşyaya ait olduğundan ve bu eşyanın satışının bir koşulu olduğundan ithal edilen hadde fabrikası ekipmanı için ödenen veya ödenecek fiyata ilave edilmelidir.</w:t>
      </w:r>
    </w:p>
    <w:p w:rsidR="0047173C" w:rsidRPr="00BF1D0A" w:rsidRDefault="0047173C" w:rsidP="00210F12">
      <w:pPr>
        <w:pStyle w:val="ListParagraph"/>
        <w:spacing w:after="0"/>
        <w:ind w:left="1080"/>
        <w:jc w:val="center"/>
        <w:rPr>
          <w:b/>
        </w:rPr>
      </w:pPr>
      <w:r w:rsidRPr="00BF1D0A">
        <w:rPr>
          <w:b/>
        </w:rPr>
        <w:t>TAVSİYE 4.13</w:t>
      </w:r>
    </w:p>
    <w:p w:rsidR="0047173C" w:rsidRPr="00210F12" w:rsidRDefault="0047173C" w:rsidP="00210F12">
      <w:pPr>
        <w:pStyle w:val="ListParagraph"/>
        <w:spacing w:after="0"/>
        <w:ind w:left="284"/>
        <w:jc w:val="both"/>
        <w:rPr>
          <w:b/>
        </w:rPr>
      </w:pPr>
      <w:r w:rsidRPr="00BF1D0A">
        <w:rPr>
          <w:b/>
        </w:rPr>
        <w:t>(İthalatçının, aralarında münasebe</w:t>
      </w:r>
      <w:r>
        <w:rPr>
          <w:b/>
        </w:rPr>
        <w:t>t bulunan ticari marka sahibine</w:t>
      </w:r>
      <w:r w:rsidRPr="00BF1D0A">
        <w:rPr>
          <w:b/>
        </w:rPr>
        <w:t>, ticari marka kullanım hakkı için ödediği royalti)</w:t>
      </w:r>
    </w:p>
    <w:p w:rsidR="0047173C" w:rsidRDefault="0047173C" w:rsidP="00210F12">
      <w:pPr>
        <w:pStyle w:val="ListParagraph"/>
        <w:numPr>
          <w:ilvl w:val="0"/>
          <w:numId w:val="31"/>
        </w:numPr>
        <w:spacing w:before="0" w:beforeAutospacing="0" w:after="0" w:afterAutospacing="0"/>
        <w:ind w:left="709" w:hanging="425"/>
        <w:contextualSpacing/>
        <w:jc w:val="both"/>
      </w:pPr>
      <w:r w:rsidRPr="0037050D">
        <w:t>İthalatçı I, yabancı üretici M’den ve diğer tedarikçi firmalardan spor çantalar satın almaktadır.</w:t>
      </w:r>
      <w:r>
        <w:t xml:space="preserve"> </w:t>
      </w:r>
      <w:r w:rsidRPr="0037050D">
        <w:t>İthalatçı I, üretici M</w:t>
      </w:r>
      <w:r>
        <w:t xml:space="preserve"> </w:t>
      </w:r>
      <w:r w:rsidRPr="0037050D">
        <w:t>ve diğer tedarikçi firmalar arasında münasebet yoktur. İthalatçı I’nın ticari marka hak sahibi C şirketi ile münasebeti vardır. I ile C arasında imzalanan sözleşmeye göre, C royalti ödemesi karşılığında ticari markanın kullanım hakkını I’ya vermektedir.</w:t>
      </w:r>
    </w:p>
    <w:p w:rsidR="0047173C" w:rsidRDefault="0047173C" w:rsidP="00210F12">
      <w:pPr>
        <w:pStyle w:val="ListParagraph"/>
        <w:spacing w:after="0"/>
        <w:ind w:left="709"/>
        <w:jc w:val="both"/>
      </w:pPr>
      <w:r w:rsidRPr="00FC33FF">
        <w:t>İthalatçı I, üretici M ve diğer tedarikçi firmalara, ithal edilmeden önce spor çantalarının üzerine tutturulacak olan ticari marka etiketlerini sağlamaktadır.</w:t>
      </w:r>
    </w:p>
    <w:p w:rsidR="0047173C" w:rsidRDefault="0047173C" w:rsidP="00DB3B7C">
      <w:pPr>
        <w:pStyle w:val="ListParagraph"/>
        <w:spacing w:after="0"/>
        <w:ind w:left="709"/>
        <w:jc w:val="both"/>
      </w:pPr>
      <w:r w:rsidRPr="00FC33FF">
        <w:t>Royalti kıymeti tespit edilecek eşyaya ait midir? I’dan C’ye yapılacak ödeme M ile I ve I ile diğer tedarikçi firmalar arasındaki satışlarda satış koşulu mudur?</w:t>
      </w:r>
    </w:p>
    <w:p w:rsidR="0047173C" w:rsidRDefault="0047173C" w:rsidP="00DB3B7C">
      <w:pPr>
        <w:pStyle w:val="ListParagraph"/>
        <w:numPr>
          <w:ilvl w:val="0"/>
          <w:numId w:val="31"/>
        </w:numPr>
        <w:spacing w:before="0" w:beforeAutospacing="0" w:after="0" w:afterAutospacing="0"/>
        <w:ind w:left="709" w:hanging="425"/>
        <w:contextualSpacing/>
        <w:jc w:val="both"/>
      </w:pPr>
      <w:r w:rsidRPr="00FC33FF">
        <w:t>Gümrük Kıymeti Teknik Komitesi aşağıdaki görüşü açıklamıştır.</w:t>
      </w:r>
    </w:p>
    <w:p w:rsidR="0047173C" w:rsidRDefault="0047173C" w:rsidP="00DB3B7C">
      <w:pPr>
        <w:jc w:val="both"/>
      </w:pPr>
    </w:p>
    <w:p w:rsidR="0047173C" w:rsidRDefault="0047173C" w:rsidP="00DB3B7C">
      <w:pPr>
        <w:ind w:left="708"/>
        <w:jc w:val="both"/>
      </w:pPr>
      <w:r w:rsidRPr="00FC33FF">
        <w:t>İthalatçının, ticari markanın kullanım hakkını elde etmek için royalti ödemesini yapması gerekmesine rağmen, bu gereklilik eşyanın ithal ülkesine ihraç amaçlı satışından bağımsız bir sözleşmeden doğmaktadır. İthal eşyası farklı sözleşmeler altında farklı tedarikçi firmalardan satın alınmaktadır ve royalti ödemesi eşyanın satışında bir satış koşulu değildir. Alıcı eşyayı satın alırken royalti ödemesi yapmak zorunda değildir. Dolayısıyla, royalti ödemesinin 8.1 (c) maddesine göre, ödenen veya ödenecek fiyata ilave edilmesi gerekmemektedir.</w:t>
      </w:r>
    </w:p>
    <w:p w:rsidR="0047173C" w:rsidRDefault="0047173C" w:rsidP="00DB3B7C">
      <w:pPr>
        <w:jc w:val="both"/>
      </w:pPr>
    </w:p>
    <w:p w:rsidR="0047173C" w:rsidRPr="0037050D" w:rsidRDefault="0047173C" w:rsidP="00DB3B7C">
      <w:pPr>
        <w:ind w:left="708"/>
        <w:jc w:val="both"/>
      </w:pPr>
      <w:r w:rsidRPr="00FC33FF">
        <w:t>Ancak I tarafından ticari markaya dair etiketlerin temin edilmesinin 8.1 (b) altında vergiye tabi olup olmayacağı ayrı bir değerlendirme konusudur.</w:t>
      </w:r>
    </w:p>
    <w:p w:rsidR="0047173C" w:rsidRPr="00DB3B7C" w:rsidRDefault="0047173C" w:rsidP="00DB3B7C">
      <w:pPr>
        <w:pStyle w:val="ListParagraph"/>
        <w:spacing w:after="0"/>
        <w:ind w:left="1440"/>
        <w:jc w:val="center"/>
        <w:rPr>
          <w:b/>
        </w:rPr>
      </w:pPr>
      <w:r w:rsidRPr="00BF1D0A">
        <w:rPr>
          <w:b/>
        </w:rPr>
        <w:t>TAVSİYE 4.14</w:t>
      </w:r>
    </w:p>
    <w:p w:rsidR="0047173C" w:rsidRDefault="0047173C" w:rsidP="00DB3B7C">
      <w:pPr>
        <w:pStyle w:val="ListParagraph"/>
        <w:numPr>
          <w:ilvl w:val="0"/>
          <w:numId w:val="32"/>
        </w:numPr>
        <w:spacing w:before="0" w:beforeAutospacing="0" w:after="0" w:afterAutospacing="0"/>
        <w:ind w:left="709" w:hanging="425"/>
        <w:contextualSpacing/>
        <w:jc w:val="both"/>
      </w:pPr>
      <w:r w:rsidRPr="0037050D">
        <w:t>Royalti ya da lisans ücretinin ithal ülkesinde yerleşik lisans sahibine ödenmesi, söz konusu ödemelerin madde 8.1</w:t>
      </w:r>
      <w:r>
        <w:t xml:space="preserve"> (c)</w:t>
      </w:r>
      <w:r w:rsidRPr="0037050D">
        <w:t xml:space="preserve"> kapsamına girm</w:t>
      </w:r>
      <w:r>
        <w:t>e</w:t>
      </w:r>
      <w:r w:rsidRPr="0037050D">
        <w:t>sine engel midir?</w:t>
      </w:r>
    </w:p>
    <w:p w:rsidR="0047173C" w:rsidRPr="0037050D" w:rsidRDefault="0047173C" w:rsidP="00DB3B7C">
      <w:pPr>
        <w:pStyle w:val="ListParagraph"/>
        <w:spacing w:before="0" w:beforeAutospacing="0" w:after="0" w:afterAutospacing="0"/>
        <w:ind w:left="1134"/>
        <w:contextualSpacing/>
        <w:jc w:val="both"/>
      </w:pPr>
    </w:p>
    <w:p w:rsidR="0047173C" w:rsidRPr="0037050D" w:rsidRDefault="0047173C" w:rsidP="00DB3B7C">
      <w:pPr>
        <w:pStyle w:val="ListParagraph"/>
        <w:numPr>
          <w:ilvl w:val="0"/>
          <w:numId w:val="32"/>
        </w:numPr>
        <w:spacing w:before="0" w:beforeAutospacing="0" w:after="0" w:afterAutospacing="0"/>
        <w:ind w:left="709" w:hanging="425"/>
        <w:contextualSpacing/>
        <w:jc w:val="both"/>
      </w:pPr>
      <w:r w:rsidRPr="0037050D">
        <w:t>Gümrük Kıymeti Teknik Komitesi aşağıdaki görüşü açıklamıştır.</w:t>
      </w:r>
    </w:p>
    <w:p w:rsidR="0047173C" w:rsidRDefault="0047173C" w:rsidP="00210F12">
      <w:pPr>
        <w:ind w:left="1134"/>
        <w:jc w:val="both"/>
      </w:pPr>
    </w:p>
    <w:p w:rsidR="0047173C" w:rsidRPr="00D57C77" w:rsidRDefault="0047173C" w:rsidP="00DB3B7C">
      <w:pPr>
        <w:ind w:left="708"/>
        <w:jc w:val="both"/>
      </w:pPr>
      <w:r w:rsidRPr="00CA2EB1">
        <w:t>Madde 8.1 (c)’ye göre royalti ya da lisans ücretinin; kıymeti tespit edilen eşyaya ait olması, alıcının söz konusu ödemeyi kıymeti belirlenen eşyanın satış koşulu olarak dolaylı veya dolaysız olarak yapması ve gerçekte ödenen veya ödenecek fiyata dâhil edilmemiş olması halinde gerçekte ödenen veya ödenecek fiyata ilave edilmesi gerekir. Madde 8.1 (c) royaltinin ithal ülkesinde ya</w:t>
      </w:r>
      <w:r>
        <w:t xml:space="preserve"> </w:t>
      </w:r>
      <w:r w:rsidRPr="00CA2EB1">
        <w:t>da dışında ödenmesine dair herhangi bir ayrım gözetmemektedir. Madde 8.1 (c), lisans sahibinin bulunduğu yer veya royalti ya</w:t>
      </w:r>
      <w:r>
        <w:t xml:space="preserve"> </w:t>
      </w:r>
      <w:r w:rsidRPr="00CA2EB1">
        <w:t>da lisans ücretinin ödendiği yer konusunda bir koşul ileri sürmemekte ve bu ödemelerin uluslararası transferini gerektirmemektedir.</w:t>
      </w:r>
      <w:r w:rsidRPr="00D57C77">
        <w:t>Lisans sahibinin bulunduğu yer ve royaltinin nerede ödendiği madde 8.1 (c) altında yapılan tespitleri etkiler nitelikte değildir. Dolayısıyla, sadece royalti ya da lisans ücretinin ithalat ülkesinde ikamet eden lisans sahibine ödeniyor olması söz konusu royalti ve lisans ücretlerinin Madde 8.1 (c) kapsamına girmesine engel teşkil etmez.</w:t>
      </w:r>
    </w:p>
    <w:p w:rsidR="0047173C" w:rsidRPr="0037050D" w:rsidRDefault="0047173C" w:rsidP="00210F12">
      <w:pPr>
        <w:ind w:left="720"/>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Default="0047173C" w:rsidP="00210F12">
      <w:pPr>
        <w:jc w:val="both"/>
      </w:pPr>
    </w:p>
    <w:p w:rsidR="0047173C" w:rsidRPr="0061042E" w:rsidRDefault="0047173C" w:rsidP="00DF5EF9">
      <w:pPr>
        <w:ind w:left="142"/>
        <w:jc w:val="both"/>
        <w:rPr>
          <w:b/>
        </w:rPr>
      </w:pPr>
      <w:r w:rsidRPr="0061042E">
        <w:rPr>
          <w:b/>
        </w:rPr>
        <w:t>EK-4</w:t>
      </w:r>
    </w:p>
    <w:p w:rsidR="0047173C" w:rsidRDefault="0047173C" w:rsidP="00210F12">
      <w:pPr>
        <w:jc w:val="both"/>
      </w:pPr>
    </w:p>
    <w:p w:rsidR="0047173C" w:rsidRPr="00935BED" w:rsidRDefault="0047173C" w:rsidP="00D56212">
      <w:pPr>
        <w:jc w:val="both"/>
        <w:rPr>
          <w:b/>
        </w:rPr>
      </w:pPr>
      <w:r>
        <w:rPr>
          <w:b/>
        </w:rPr>
        <w:t xml:space="preserve">Tebliğ’in 6 ıncı maddesinin üçüncğ fıkrası kapsamındaki olaylarda </w:t>
      </w:r>
      <w:r w:rsidRPr="00A509DF">
        <w:rPr>
          <w:b/>
        </w:rPr>
        <w:t>r</w:t>
      </w:r>
      <w:r w:rsidRPr="00935BED">
        <w:rPr>
          <w:b/>
        </w:rPr>
        <w:t>oyalti veya lisans bedelinin hesaplanması</w:t>
      </w:r>
    </w:p>
    <w:p w:rsidR="0047173C" w:rsidRDefault="0047173C" w:rsidP="00210F12">
      <w:pPr>
        <w:jc w:val="both"/>
      </w:pPr>
    </w:p>
    <w:p w:rsidR="0047173C" w:rsidRDefault="0047173C" w:rsidP="00DF5EF9">
      <w:pPr>
        <w:ind w:left="142"/>
        <w:jc w:val="both"/>
      </w:pPr>
      <w:r>
        <w:t>Kıymet uygulamasında royalti veya lisans ücretlerine ilişkin alınacak kararlar nesnel ve ölçülebilir verilere dayanmalıdır. Bu tür verilerin olmadığı anlaşılmışsa satış bedeli yöntemi uygulanamaz. Gümrük memuru royalti veya lisans ödemesinin ithal edilen eşyaya ilişkin olduğunu düşünüyor ancak ithalatçıdan ilave bilgi ve belge temin edemiyor ve bu durumda Gümrük Kanunu’nun 24 üncü maddesi çerçevesinde satış bedeli yönteminin uygulanabilirliği konusunda çekinceleri oluşuyorsa, mezkur kanunun 25 ve 26 ncı maddelerinde yer alan ilk alternatif yöntemin uygulanmasına geçilir ve bunun nedenleri hakkında ithalatçıya bilgi verilir.</w:t>
      </w:r>
    </w:p>
    <w:p w:rsidR="0047173C" w:rsidRDefault="0047173C" w:rsidP="00210F12">
      <w:pPr>
        <w:jc w:val="both"/>
      </w:pPr>
    </w:p>
    <w:p w:rsidR="0047173C" w:rsidRDefault="0047173C" w:rsidP="00DF5EF9">
      <w:pPr>
        <w:ind w:firstLine="142"/>
        <w:jc w:val="both"/>
        <w:rPr>
          <w:b/>
        </w:rPr>
      </w:pPr>
      <w:r w:rsidRPr="00935BED">
        <w:rPr>
          <w:b/>
        </w:rPr>
        <w:t>Örnek Olay:</w:t>
      </w:r>
    </w:p>
    <w:p w:rsidR="0047173C" w:rsidRDefault="0047173C" w:rsidP="00DF5EF9">
      <w:pPr>
        <w:ind w:left="142"/>
        <w:jc w:val="both"/>
      </w:pPr>
      <w:r>
        <w:t xml:space="preserve">Satıcı </w:t>
      </w:r>
      <w:r w:rsidRPr="008F3669">
        <w:t>S</w:t>
      </w:r>
      <w:r w:rsidRPr="00935BED">
        <w:t xml:space="preserve"> ithal ülkesinde korunan bir tic</w:t>
      </w:r>
      <w:r w:rsidRPr="008F3669">
        <w:t>ari marka sahibidir. İthalatçı G, S</w:t>
      </w:r>
      <w:r w:rsidRPr="00935BED">
        <w:t xml:space="preserve">’nin ticari markası altında </w:t>
      </w:r>
      <w:r>
        <w:t>sigara</w:t>
      </w:r>
      <w:r w:rsidRPr="008F3669">
        <w:t xml:space="preserve"> üretmekte ve satmaktadır. G</w:t>
      </w:r>
      <w:r w:rsidRPr="00935BED">
        <w:t>’ni</w:t>
      </w:r>
      <w:r w:rsidRPr="008F3669">
        <w:t>n S</w:t>
      </w:r>
      <w:r w:rsidRPr="00935BED">
        <w:t>’ye , ticari marka</w:t>
      </w:r>
      <w:r w:rsidRPr="008F3669">
        <w:t>sı altında sattığı sigaraların üç aylık dönemler itibariyle</w:t>
      </w:r>
      <w:r w:rsidRPr="00935BED">
        <w:t xml:space="preserve"> gayrisafi satış tutarı üzerinden %5 royalti ödemesi gere</w:t>
      </w:r>
      <w:r w:rsidRPr="008F3669">
        <w:t>kmektedir. Sigaralar</w:t>
      </w:r>
      <w:r>
        <w:t xml:space="preserve"> S</w:t>
      </w:r>
      <w:r w:rsidRPr="008F3669">
        <w:t>’nin verdiği formül ve</w:t>
      </w:r>
      <w:r>
        <w:t xml:space="preserve"> sağladığı veya onayladığı</w:t>
      </w:r>
      <w:r w:rsidRPr="008F3669">
        <w:t xml:space="preserve"> hammaddeler</w:t>
      </w:r>
      <w:r>
        <w:t xml:space="preserve"> ile üretilmektedir. </w:t>
      </w:r>
    </w:p>
    <w:p w:rsidR="0047173C" w:rsidRDefault="0047173C" w:rsidP="00210F12">
      <w:pPr>
        <w:jc w:val="both"/>
      </w:pPr>
    </w:p>
    <w:p w:rsidR="0047173C" w:rsidRDefault="0047173C" w:rsidP="00DF5EF9">
      <w:pPr>
        <w:ind w:firstLine="142"/>
        <w:jc w:val="both"/>
      </w:pPr>
      <w:r>
        <w:t>Yapılan inceleme ve eldeki verilerden;</w:t>
      </w:r>
    </w:p>
    <w:p w:rsidR="0047173C" w:rsidRDefault="0047173C" w:rsidP="00210F12">
      <w:pPr>
        <w:jc w:val="both"/>
      </w:pPr>
    </w:p>
    <w:p w:rsidR="0047173C" w:rsidRDefault="0047173C" w:rsidP="00210F12">
      <w:pPr>
        <w:pStyle w:val="ListParagraph"/>
        <w:numPr>
          <w:ilvl w:val="0"/>
          <w:numId w:val="38"/>
        </w:numPr>
        <w:spacing w:before="0" w:beforeAutospacing="0" w:after="0" w:afterAutospacing="0"/>
        <w:contextualSpacing/>
        <w:jc w:val="both"/>
      </w:pPr>
      <w:r w:rsidRPr="00935BED">
        <w:t>İlgilenilen dönem itibariyle</w:t>
      </w:r>
      <w:r w:rsidRPr="004E40EF">
        <w:t xml:space="preserve"> </w:t>
      </w:r>
      <w:r>
        <w:t>5</w:t>
      </w:r>
      <w:r w:rsidRPr="00935BED">
        <w:t xml:space="preserve">00.000 TL’lik gayrisafi </w:t>
      </w:r>
      <w:r>
        <w:t>satış tutarı üzerinden 2</w:t>
      </w:r>
      <w:r w:rsidRPr="000506EB">
        <w:t>5</w:t>
      </w:r>
      <w:r w:rsidRPr="00935BED">
        <w:t xml:space="preserve">.000 TL royalti ödemesi olduğu tespit edilmiştir.  </w:t>
      </w:r>
    </w:p>
    <w:p w:rsidR="0047173C" w:rsidRDefault="0047173C" w:rsidP="00210F12">
      <w:pPr>
        <w:pStyle w:val="ListParagraph"/>
        <w:numPr>
          <w:ilvl w:val="0"/>
          <w:numId w:val="38"/>
        </w:numPr>
        <w:spacing w:before="0" w:beforeAutospacing="0" w:after="0" w:afterAutospacing="0"/>
        <w:contextualSpacing/>
        <w:jc w:val="both"/>
      </w:pPr>
      <w:r>
        <w:t>Firma tarafından, söz konusu dönem itibariyle üretilen 400 ton sigara içinde 200 ton ithal tütün 200 ton yerli tütün kullanıldığı, maliyet tablosunun ise aşağıdaki gibi olduğu bildirilmiştir.</w:t>
      </w:r>
    </w:p>
    <w:p w:rsidR="0047173C" w:rsidRDefault="0047173C" w:rsidP="00210F12">
      <w:pPr>
        <w:pStyle w:val="ListParagraph"/>
        <w:spacing w:after="0"/>
        <w:ind w:left="1068"/>
        <w:jc w:val="both"/>
      </w:pPr>
    </w:p>
    <w:p w:rsidR="0047173C" w:rsidRDefault="0047173C" w:rsidP="00210F12">
      <w:pPr>
        <w:pStyle w:val="ListParagraph"/>
        <w:spacing w:after="0"/>
        <w:ind w:left="1068"/>
        <w:jc w:val="both"/>
      </w:pPr>
      <w:r>
        <w:t>200 ton ithal tütün * 1 TL/kg birim fiyat = 200.000</w:t>
      </w:r>
    </w:p>
    <w:p w:rsidR="0047173C" w:rsidRPr="00935BED" w:rsidRDefault="0047173C" w:rsidP="00210F12">
      <w:pPr>
        <w:pStyle w:val="ListParagraph"/>
        <w:spacing w:after="0"/>
        <w:ind w:left="1068"/>
        <w:jc w:val="both"/>
      </w:pPr>
      <w:r>
        <w:t>200 ton yerli tütün * 1 TL/kg birim fiyat = 200.000</w:t>
      </w:r>
    </w:p>
    <w:p w:rsidR="0047173C" w:rsidRDefault="0047173C" w:rsidP="00210F12">
      <w:pPr>
        <w:pStyle w:val="ListParagraph"/>
        <w:spacing w:after="0"/>
        <w:ind w:left="1068"/>
        <w:jc w:val="both"/>
      </w:pPr>
      <w:r>
        <w:t xml:space="preserve">                                                                     ---------</w:t>
      </w:r>
      <w:r>
        <w:tab/>
      </w:r>
      <w:r>
        <w:tab/>
      </w:r>
      <w:r>
        <w:tab/>
        <w:t xml:space="preserve">                </w:t>
      </w:r>
    </w:p>
    <w:p w:rsidR="0047173C" w:rsidRDefault="0047173C" w:rsidP="00210F12">
      <w:pPr>
        <w:pStyle w:val="ListParagraph"/>
        <w:spacing w:after="0"/>
        <w:ind w:left="3900"/>
        <w:jc w:val="both"/>
      </w:pPr>
      <w:r>
        <w:t xml:space="preserve">     Toplam = 400.000           </w:t>
      </w:r>
    </w:p>
    <w:p w:rsidR="0047173C" w:rsidRDefault="0047173C" w:rsidP="00DF5EF9">
      <w:pPr>
        <w:jc w:val="both"/>
      </w:pPr>
    </w:p>
    <w:p w:rsidR="0047173C" w:rsidRDefault="0047173C" w:rsidP="00DF5EF9">
      <w:pPr>
        <w:ind w:left="142"/>
        <w:jc w:val="both"/>
      </w:pPr>
      <w:r w:rsidRPr="00935BED">
        <w:t>İthal edilen söz konusu maddeler açısında</w:t>
      </w:r>
      <w:r>
        <w:t>n</w:t>
      </w:r>
      <w:r w:rsidRPr="00935BED">
        <w:t xml:space="preserve"> royaltinin tabi tutulacağı işlem nedir?</w:t>
      </w:r>
    </w:p>
    <w:p w:rsidR="0047173C" w:rsidRDefault="0047173C" w:rsidP="00210F12">
      <w:pPr>
        <w:jc w:val="both"/>
      </w:pPr>
    </w:p>
    <w:p w:rsidR="0047173C" w:rsidRDefault="0047173C" w:rsidP="00DF5EF9">
      <w:pPr>
        <w:ind w:left="142"/>
        <w:jc w:val="both"/>
      </w:pPr>
      <w:r>
        <w:t>Olayda royalti ödemesi ve söz konusu ödemenin ithal eşyası ile ilgili kısmına ilişkin nesnel ve ölçülebilir veriler bulunmaktadır. Bu sebeple; ödenen royalti tutarının ithal eşyasına isabet eden kısmının hesaplanarak ithal eşyasının gümrük kıymetine ilave edilmesi gerekmektedir.</w:t>
      </w:r>
    </w:p>
    <w:p w:rsidR="0047173C" w:rsidRDefault="0047173C" w:rsidP="00210F12">
      <w:pPr>
        <w:jc w:val="both"/>
      </w:pPr>
    </w:p>
    <w:p w:rsidR="0047173C" w:rsidRDefault="0047173C" w:rsidP="00DF5EF9">
      <w:pPr>
        <w:ind w:firstLine="142"/>
        <w:jc w:val="both"/>
      </w:pPr>
      <w:r>
        <w:t>Satılan ürün üzerinden toplam Royalti ödemesi: 25.000 TL</w:t>
      </w:r>
    </w:p>
    <w:p w:rsidR="0047173C" w:rsidRDefault="0047173C" w:rsidP="00DF5EF9">
      <w:pPr>
        <w:ind w:firstLine="142"/>
        <w:jc w:val="both"/>
      </w:pPr>
      <w:r>
        <w:t>İthal eşyasının satılan ürün içindeki payı: 200.000/400.000=0,50=%50</w:t>
      </w:r>
    </w:p>
    <w:p w:rsidR="0047173C" w:rsidRDefault="0047173C" w:rsidP="00DF5EF9">
      <w:pPr>
        <w:ind w:firstLine="142"/>
        <w:jc w:val="both"/>
      </w:pPr>
      <w:r>
        <w:t>İthal eşyasına isabet eden royalti ödemesi: 25.000*0,50=</w:t>
      </w:r>
      <w:r w:rsidRPr="00185EA3">
        <w:rPr>
          <w:b/>
        </w:rPr>
        <w:t>12,500</w:t>
      </w:r>
      <w:r w:rsidRPr="00935BED">
        <w:rPr>
          <w:b/>
        </w:rPr>
        <w:t xml:space="preserve"> TL </w:t>
      </w:r>
    </w:p>
    <w:p w:rsidR="0047173C" w:rsidRDefault="0047173C" w:rsidP="00210F12">
      <w:pPr>
        <w:jc w:val="both"/>
      </w:pPr>
    </w:p>
    <w:p w:rsidR="0047173C" w:rsidRDefault="0047173C" w:rsidP="00DF5EF9">
      <w:pPr>
        <w:ind w:left="142"/>
        <w:jc w:val="both"/>
      </w:pPr>
      <w:r>
        <w:t xml:space="preserve">İncelenen dönem itibariyle ithal edilen eşyalar için gümrük kıymetine ilave edilen royalti tutarının 12,500 TL olduğu hesaplanmış olup, söz konusu tutar ilgili olduğu döneme ilişkin herbir beyanname ile ilişkilendirilmelidir. </w:t>
      </w:r>
    </w:p>
    <w:p w:rsidR="0047173C" w:rsidRPr="00D26F37" w:rsidRDefault="0047173C" w:rsidP="00885C0C">
      <w:pPr>
        <w:tabs>
          <w:tab w:val="left" w:pos="709"/>
        </w:tabs>
        <w:spacing w:before="100" w:beforeAutospacing="1" w:after="100" w:afterAutospacing="1"/>
      </w:pPr>
    </w:p>
    <w:sectPr w:rsidR="0047173C" w:rsidRPr="00D26F37" w:rsidSect="00D56212">
      <w:pgSz w:w="11906" w:h="16838"/>
      <w:pgMar w:top="851" w:right="1133"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73C" w:rsidRDefault="0047173C" w:rsidP="00F5686B">
      <w:r>
        <w:separator/>
      </w:r>
    </w:p>
  </w:endnote>
  <w:endnote w:type="continuationSeparator" w:id="0">
    <w:p w:rsidR="0047173C" w:rsidRDefault="0047173C" w:rsidP="00F56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73C" w:rsidRDefault="0047173C" w:rsidP="00F5686B">
      <w:r>
        <w:separator/>
      </w:r>
    </w:p>
  </w:footnote>
  <w:footnote w:type="continuationSeparator" w:id="0">
    <w:p w:rsidR="0047173C" w:rsidRDefault="0047173C" w:rsidP="00F56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4970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FB6F3F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CC304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B86843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3CE27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F9A74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F88F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A247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E860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C2AFB4"/>
    <w:lvl w:ilvl="0">
      <w:start w:val="1"/>
      <w:numFmt w:val="bullet"/>
      <w:lvlText w:val=""/>
      <w:lvlJc w:val="left"/>
      <w:pPr>
        <w:tabs>
          <w:tab w:val="num" w:pos="360"/>
        </w:tabs>
        <w:ind w:left="360" w:hanging="360"/>
      </w:pPr>
      <w:rPr>
        <w:rFonts w:ascii="Symbol" w:hAnsi="Symbol" w:hint="default"/>
      </w:rPr>
    </w:lvl>
  </w:abstractNum>
  <w:abstractNum w:abstractNumId="10">
    <w:nsid w:val="02965DCE"/>
    <w:multiLevelType w:val="hybridMultilevel"/>
    <w:tmpl w:val="277C36A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0B7B16DC"/>
    <w:multiLevelType w:val="hybridMultilevel"/>
    <w:tmpl w:val="3DE6113A"/>
    <w:lvl w:ilvl="0" w:tplc="46742E22">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2">
    <w:nsid w:val="0F8D4C69"/>
    <w:multiLevelType w:val="hybridMultilevel"/>
    <w:tmpl w:val="DA8CD0B2"/>
    <w:lvl w:ilvl="0" w:tplc="E73A49A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3">
    <w:nsid w:val="11D079C4"/>
    <w:multiLevelType w:val="hybridMultilevel"/>
    <w:tmpl w:val="A600F20E"/>
    <w:lvl w:ilvl="0" w:tplc="BC3E457A">
      <w:start w:val="1"/>
      <w:numFmt w:val="lowerLetter"/>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14">
    <w:nsid w:val="13FA22D9"/>
    <w:multiLevelType w:val="hybridMultilevel"/>
    <w:tmpl w:val="A7A019E4"/>
    <w:lvl w:ilvl="0" w:tplc="9AEE3B06">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5">
    <w:nsid w:val="17F82919"/>
    <w:multiLevelType w:val="hybridMultilevel"/>
    <w:tmpl w:val="7384F58A"/>
    <w:lvl w:ilvl="0" w:tplc="859C4702">
      <w:start w:val="1"/>
      <w:numFmt w:val="decimal"/>
      <w:lvlText w:val="%1)"/>
      <w:lvlJc w:val="left"/>
      <w:pPr>
        <w:ind w:left="1064" w:hanging="360"/>
      </w:pPr>
      <w:rPr>
        <w:rFonts w:cs="Times New Roman" w:hint="default"/>
      </w:rPr>
    </w:lvl>
    <w:lvl w:ilvl="1" w:tplc="041F0019">
      <w:start w:val="1"/>
      <w:numFmt w:val="lowerLetter"/>
      <w:lvlText w:val="%2."/>
      <w:lvlJc w:val="left"/>
      <w:pPr>
        <w:ind w:left="1784" w:hanging="360"/>
      </w:pPr>
      <w:rPr>
        <w:rFonts w:cs="Times New Roman"/>
      </w:rPr>
    </w:lvl>
    <w:lvl w:ilvl="2" w:tplc="041F001B" w:tentative="1">
      <w:start w:val="1"/>
      <w:numFmt w:val="lowerRoman"/>
      <w:lvlText w:val="%3."/>
      <w:lvlJc w:val="right"/>
      <w:pPr>
        <w:ind w:left="2504" w:hanging="180"/>
      </w:pPr>
      <w:rPr>
        <w:rFonts w:cs="Times New Roman"/>
      </w:rPr>
    </w:lvl>
    <w:lvl w:ilvl="3" w:tplc="041F000F" w:tentative="1">
      <w:start w:val="1"/>
      <w:numFmt w:val="decimal"/>
      <w:lvlText w:val="%4."/>
      <w:lvlJc w:val="left"/>
      <w:pPr>
        <w:ind w:left="3224" w:hanging="360"/>
      </w:pPr>
      <w:rPr>
        <w:rFonts w:cs="Times New Roman"/>
      </w:rPr>
    </w:lvl>
    <w:lvl w:ilvl="4" w:tplc="041F0019" w:tentative="1">
      <w:start w:val="1"/>
      <w:numFmt w:val="lowerLetter"/>
      <w:lvlText w:val="%5."/>
      <w:lvlJc w:val="left"/>
      <w:pPr>
        <w:ind w:left="3944" w:hanging="360"/>
      </w:pPr>
      <w:rPr>
        <w:rFonts w:cs="Times New Roman"/>
      </w:rPr>
    </w:lvl>
    <w:lvl w:ilvl="5" w:tplc="041F001B" w:tentative="1">
      <w:start w:val="1"/>
      <w:numFmt w:val="lowerRoman"/>
      <w:lvlText w:val="%6."/>
      <w:lvlJc w:val="right"/>
      <w:pPr>
        <w:ind w:left="4664" w:hanging="180"/>
      </w:pPr>
      <w:rPr>
        <w:rFonts w:cs="Times New Roman"/>
      </w:rPr>
    </w:lvl>
    <w:lvl w:ilvl="6" w:tplc="041F000F" w:tentative="1">
      <w:start w:val="1"/>
      <w:numFmt w:val="decimal"/>
      <w:lvlText w:val="%7."/>
      <w:lvlJc w:val="left"/>
      <w:pPr>
        <w:ind w:left="5384" w:hanging="360"/>
      </w:pPr>
      <w:rPr>
        <w:rFonts w:cs="Times New Roman"/>
      </w:rPr>
    </w:lvl>
    <w:lvl w:ilvl="7" w:tplc="041F0019" w:tentative="1">
      <w:start w:val="1"/>
      <w:numFmt w:val="lowerLetter"/>
      <w:lvlText w:val="%8."/>
      <w:lvlJc w:val="left"/>
      <w:pPr>
        <w:ind w:left="6104" w:hanging="360"/>
      </w:pPr>
      <w:rPr>
        <w:rFonts w:cs="Times New Roman"/>
      </w:rPr>
    </w:lvl>
    <w:lvl w:ilvl="8" w:tplc="041F001B" w:tentative="1">
      <w:start w:val="1"/>
      <w:numFmt w:val="lowerRoman"/>
      <w:lvlText w:val="%9."/>
      <w:lvlJc w:val="right"/>
      <w:pPr>
        <w:ind w:left="6824" w:hanging="180"/>
      </w:pPr>
      <w:rPr>
        <w:rFonts w:cs="Times New Roman"/>
      </w:rPr>
    </w:lvl>
  </w:abstractNum>
  <w:abstractNum w:abstractNumId="16">
    <w:nsid w:val="1B0B1924"/>
    <w:multiLevelType w:val="hybridMultilevel"/>
    <w:tmpl w:val="AE569FA0"/>
    <w:lvl w:ilvl="0" w:tplc="851E792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7">
    <w:nsid w:val="1B9C6F89"/>
    <w:multiLevelType w:val="hybridMultilevel"/>
    <w:tmpl w:val="25CED924"/>
    <w:lvl w:ilvl="0" w:tplc="63A4F9F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8">
    <w:nsid w:val="1E1420C4"/>
    <w:multiLevelType w:val="hybridMultilevel"/>
    <w:tmpl w:val="099ABA84"/>
    <w:lvl w:ilvl="0" w:tplc="A8C078FE">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9">
    <w:nsid w:val="200053EE"/>
    <w:multiLevelType w:val="hybridMultilevel"/>
    <w:tmpl w:val="2C146C7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22FB3848"/>
    <w:multiLevelType w:val="hybridMultilevel"/>
    <w:tmpl w:val="4B103748"/>
    <w:lvl w:ilvl="0" w:tplc="A71C5884">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nsid w:val="247C71BE"/>
    <w:multiLevelType w:val="hybridMultilevel"/>
    <w:tmpl w:val="84449B8C"/>
    <w:lvl w:ilvl="0" w:tplc="A9A003F0">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22">
    <w:nsid w:val="34A313F1"/>
    <w:multiLevelType w:val="hybridMultilevel"/>
    <w:tmpl w:val="B440785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3921741A"/>
    <w:multiLevelType w:val="hybridMultilevel"/>
    <w:tmpl w:val="2190D9B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39524475"/>
    <w:multiLevelType w:val="hybridMultilevel"/>
    <w:tmpl w:val="4F864B0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3A4C456B"/>
    <w:multiLevelType w:val="hybridMultilevel"/>
    <w:tmpl w:val="0BE23170"/>
    <w:lvl w:ilvl="0" w:tplc="6810BAF6">
      <w:start w:val="1"/>
      <w:numFmt w:val="upp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6">
    <w:nsid w:val="3C357F67"/>
    <w:multiLevelType w:val="hybridMultilevel"/>
    <w:tmpl w:val="51E29C4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3ECA0F72"/>
    <w:multiLevelType w:val="hybridMultilevel"/>
    <w:tmpl w:val="FDC65D8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4A7D601C"/>
    <w:multiLevelType w:val="hybridMultilevel"/>
    <w:tmpl w:val="AF166D3A"/>
    <w:lvl w:ilvl="0" w:tplc="2AC2DF3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9">
    <w:nsid w:val="4D6E281C"/>
    <w:multiLevelType w:val="hybridMultilevel"/>
    <w:tmpl w:val="19F2D23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526408F7"/>
    <w:multiLevelType w:val="hybridMultilevel"/>
    <w:tmpl w:val="3AAC2C7A"/>
    <w:lvl w:ilvl="0" w:tplc="9D9ABF1C">
      <w:start w:val="1"/>
      <w:numFmt w:val="decimal"/>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31">
    <w:nsid w:val="5FD70625"/>
    <w:multiLevelType w:val="hybridMultilevel"/>
    <w:tmpl w:val="0572471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1C63C4A"/>
    <w:multiLevelType w:val="hybridMultilevel"/>
    <w:tmpl w:val="C00867A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6CCB7388"/>
    <w:multiLevelType w:val="hybridMultilevel"/>
    <w:tmpl w:val="C00867A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71D677E1"/>
    <w:multiLevelType w:val="hybridMultilevel"/>
    <w:tmpl w:val="E3FE29F8"/>
    <w:lvl w:ilvl="0" w:tplc="7E0899E8">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5">
    <w:nsid w:val="72BD1983"/>
    <w:multiLevelType w:val="hybridMultilevel"/>
    <w:tmpl w:val="B806703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75B26E1F"/>
    <w:multiLevelType w:val="hybridMultilevel"/>
    <w:tmpl w:val="F2CACAFA"/>
    <w:lvl w:ilvl="0" w:tplc="041F0017">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7">
    <w:nsid w:val="76252B32"/>
    <w:multiLevelType w:val="hybridMultilevel"/>
    <w:tmpl w:val="16BC9960"/>
    <w:lvl w:ilvl="0" w:tplc="4ADC46C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6"/>
  </w:num>
  <w:num w:numId="15">
    <w:abstractNumId w:val="21"/>
  </w:num>
  <w:num w:numId="16">
    <w:abstractNumId w:val="27"/>
  </w:num>
  <w:num w:numId="17">
    <w:abstractNumId w:val="18"/>
  </w:num>
  <w:num w:numId="18">
    <w:abstractNumId w:val="29"/>
  </w:num>
  <w:num w:numId="19">
    <w:abstractNumId w:val="31"/>
  </w:num>
  <w:num w:numId="20">
    <w:abstractNumId w:val="19"/>
  </w:num>
  <w:num w:numId="21">
    <w:abstractNumId w:val="22"/>
  </w:num>
  <w:num w:numId="22">
    <w:abstractNumId w:val="32"/>
  </w:num>
  <w:num w:numId="23">
    <w:abstractNumId w:val="24"/>
  </w:num>
  <w:num w:numId="24">
    <w:abstractNumId w:val="17"/>
  </w:num>
  <w:num w:numId="25">
    <w:abstractNumId w:val="37"/>
  </w:num>
  <w:num w:numId="26">
    <w:abstractNumId w:val="11"/>
  </w:num>
  <w:num w:numId="27">
    <w:abstractNumId w:val="12"/>
  </w:num>
  <w:num w:numId="28">
    <w:abstractNumId w:val="20"/>
  </w:num>
  <w:num w:numId="29">
    <w:abstractNumId w:val="16"/>
  </w:num>
  <w:num w:numId="30">
    <w:abstractNumId w:val="14"/>
  </w:num>
  <w:num w:numId="31">
    <w:abstractNumId w:val="34"/>
  </w:num>
  <w:num w:numId="32">
    <w:abstractNumId w:val="30"/>
  </w:num>
  <w:num w:numId="33">
    <w:abstractNumId w:val="13"/>
  </w:num>
  <w:num w:numId="34">
    <w:abstractNumId w:val="25"/>
  </w:num>
  <w:num w:numId="35">
    <w:abstractNumId w:val="36"/>
  </w:num>
  <w:num w:numId="36">
    <w:abstractNumId w:val="35"/>
  </w:num>
  <w:num w:numId="37">
    <w:abstractNumId w:val="33"/>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F8B"/>
    <w:rsid w:val="00001231"/>
    <w:rsid w:val="0000442E"/>
    <w:rsid w:val="00004600"/>
    <w:rsid w:val="00006B30"/>
    <w:rsid w:val="00006D24"/>
    <w:rsid w:val="00010EEE"/>
    <w:rsid w:val="00013157"/>
    <w:rsid w:val="000136F8"/>
    <w:rsid w:val="0001476D"/>
    <w:rsid w:val="00021322"/>
    <w:rsid w:val="00024553"/>
    <w:rsid w:val="00024A78"/>
    <w:rsid w:val="00030431"/>
    <w:rsid w:val="000319F0"/>
    <w:rsid w:val="0003417B"/>
    <w:rsid w:val="00036030"/>
    <w:rsid w:val="00040B8D"/>
    <w:rsid w:val="00047E2A"/>
    <w:rsid w:val="000506EB"/>
    <w:rsid w:val="0005094B"/>
    <w:rsid w:val="000516FD"/>
    <w:rsid w:val="00053AA2"/>
    <w:rsid w:val="0006363A"/>
    <w:rsid w:val="00065420"/>
    <w:rsid w:val="00067A67"/>
    <w:rsid w:val="00071852"/>
    <w:rsid w:val="000845C4"/>
    <w:rsid w:val="00084B2A"/>
    <w:rsid w:val="00097A47"/>
    <w:rsid w:val="000A5E4F"/>
    <w:rsid w:val="000B56CC"/>
    <w:rsid w:val="000C4F41"/>
    <w:rsid w:val="000C575A"/>
    <w:rsid w:val="000C5BA4"/>
    <w:rsid w:val="000E2043"/>
    <w:rsid w:val="000E7010"/>
    <w:rsid w:val="00102770"/>
    <w:rsid w:val="00106AF3"/>
    <w:rsid w:val="00113294"/>
    <w:rsid w:val="00117AF7"/>
    <w:rsid w:val="00122689"/>
    <w:rsid w:val="00135BB0"/>
    <w:rsid w:val="00141AAA"/>
    <w:rsid w:val="001434CD"/>
    <w:rsid w:val="00157A42"/>
    <w:rsid w:val="0016064A"/>
    <w:rsid w:val="00165F44"/>
    <w:rsid w:val="00166491"/>
    <w:rsid w:val="00170492"/>
    <w:rsid w:val="0017230B"/>
    <w:rsid w:val="001769CD"/>
    <w:rsid w:val="00185EA3"/>
    <w:rsid w:val="00187D6C"/>
    <w:rsid w:val="0019492F"/>
    <w:rsid w:val="00195D89"/>
    <w:rsid w:val="001962E8"/>
    <w:rsid w:val="001977C6"/>
    <w:rsid w:val="001A3A20"/>
    <w:rsid w:val="001A4EE0"/>
    <w:rsid w:val="001A65F8"/>
    <w:rsid w:val="001A7B11"/>
    <w:rsid w:val="001C0B7F"/>
    <w:rsid w:val="001C18D0"/>
    <w:rsid w:val="001C28ED"/>
    <w:rsid w:val="001C494E"/>
    <w:rsid w:val="001C7DF6"/>
    <w:rsid w:val="001C7E9A"/>
    <w:rsid w:val="001D20C9"/>
    <w:rsid w:val="001D3016"/>
    <w:rsid w:val="001D37AE"/>
    <w:rsid w:val="001E3BE9"/>
    <w:rsid w:val="001E6FEE"/>
    <w:rsid w:val="001F157D"/>
    <w:rsid w:val="001F4A31"/>
    <w:rsid w:val="00200EDA"/>
    <w:rsid w:val="002024EE"/>
    <w:rsid w:val="00206862"/>
    <w:rsid w:val="00207087"/>
    <w:rsid w:val="00210F12"/>
    <w:rsid w:val="00217E7D"/>
    <w:rsid w:val="00221F14"/>
    <w:rsid w:val="002274F3"/>
    <w:rsid w:val="00230DCC"/>
    <w:rsid w:val="00233A5F"/>
    <w:rsid w:val="00236062"/>
    <w:rsid w:val="00236CB4"/>
    <w:rsid w:val="00245265"/>
    <w:rsid w:val="00247590"/>
    <w:rsid w:val="002543F4"/>
    <w:rsid w:val="00255294"/>
    <w:rsid w:val="00262FBE"/>
    <w:rsid w:val="00264E90"/>
    <w:rsid w:val="0026781B"/>
    <w:rsid w:val="0027326E"/>
    <w:rsid w:val="002808EE"/>
    <w:rsid w:val="00285415"/>
    <w:rsid w:val="002856B5"/>
    <w:rsid w:val="002931EE"/>
    <w:rsid w:val="002970B1"/>
    <w:rsid w:val="002A0DC8"/>
    <w:rsid w:val="002A1DB8"/>
    <w:rsid w:val="002B184B"/>
    <w:rsid w:val="002B6A47"/>
    <w:rsid w:val="002D300F"/>
    <w:rsid w:val="002D57A3"/>
    <w:rsid w:val="002D684A"/>
    <w:rsid w:val="002E36D7"/>
    <w:rsid w:val="002E41EE"/>
    <w:rsid w:val="002E6684"/>
    <w:rsid w:val="002F12C8"/>
    <w:rsid w:val="002F23C5"/>
    <w:rsid w:val="00304158"/>
    <w:rsid w:val="00311C11"/>
    <w:rsid w:val="003120F2"/>
    <w:rsid w:val="00312E8B"/>
    <w:rsid w:val="00314CD0"/>
    <w:rsid w:val="00316B42"/>
    <w:rsid w:val="00316E32"/>
    <w:rsid w:val="0031733D"/>
    <w:rsid w:val="00322E43"/>
    <w:rsid w:val="003241AF"/>
    <w:rsid w:val="003357A0"/>
    <w:rsid w:val="00345C68"/>
    <w:rsid w:val="00367133"/>
    <w:rsid w:val="0037050D"/>
    <w:rsid w:val="00370A7B"/>
    <w:rsid w:val="00380AEB"/>
    <w:rsid w:val="00382F8D"/>
    <w:rsid w:val="00383447"/>
    <w:rsid w:val="00383794"/>
    <w:rsid w:val="00383E6F"/>
    <w:rsid w:val="00391984"/>
    <w:rsid w:val="003A1C2F"/>
    <w:rsid w:val="003B486A"/>
    <w:rsid w:val="003B5709"/>
    <w:rsid w:val="003B7611"/>
    <w:rsid w:val="003C05B4"/>
    <w:rsid w:val="003C5749"/>
    <w:rsid w:val="003C64D1"/>
    <w:rsid w:val="003D23DD"/>
    <w:rsid w:val="003D7F58"/>
    <w:rsid w:val="003E7B24"/>
    <w:rsid w:val="003F30FF"/>
    <w:rsid w:val="003F382E"/>
    <w:rsid w:val="003F5C29"/>
    <w:rsid w:val="004068D2"/>
    <w:rsid w:val="00407E91"/>
    <w:rsid w:val="004150E3"/>
    <w:rsid w:val="00420068"/>
    <w:rsid w:val="0042142F"/>
    <w:rsid w:val="00424D53"/>
    <w:rsid w:val="004300C8"/>
    <w:rsid w:val="004441C5"/>
    <w:rsid w:val="0044563B"/>
    <w:rsid w:val="00462EED"/>
    <w:rsid w:val="0047173C"/>
    <w:rsid w:val="0047464A"/>
    <w:rsid w:val="00480F99"/>
    <w:rsid w:val="00487641"/>
    <w:rsid w:val="00494DA8"/>
    <w:rsid w:val="004A05DF"/>
    <w:rsid w:val="004A1963"/>
    <w:rsid w:val="004A365D"/>
    <w:rsid w:val="004A7C61"/>
    <w:rsid w:val="004B16A0"/>
    <w:rsid w:val="004B3792"/>
    <w:rsid w:val="004C6E86"/>
    <w:rsid w:val="004D3C8B"/>
    <w:rsid w:val="004E40EF"/>
    <w:rsid w:val="004E4583"/>
    <w:rsid w:val="004E57F1"/>
    <w:rsid w:val="004E6097"/>
    <w:rsid w:val="004E6BE9"/>
    <w:rsid w:val="004F0A77"/>
    <w:rsid w:val="004F0FC1"/>
    <w:rsid w:val="004F1A80"/>
    <w:rsid w:val="004F7FDD"/>
    <w:rsid w:val="005018CF"/>
    <w:rsid w:val="00501AB1"/>
    <w:rsid w:val="00506A3A"/>
    <w:rsid w:val="00506E05"/>
    <w:rsid w:val="0050737A"/>
    <w:rsid w:val="00510870"/>
    <w:rsid w:val="005138A6"/>
    <w:rsid w:val="00515564"/>
    <w:rsid w:val="005176D4"/>
    <w:rsid w:val="00521E8D"/>
    <w:rsid w:val="00535C79"/>
    <w:rsid w:val="00537082"/>
    <w:rsid w:val="005372BB"/>
    <w:rsid w:val="005463C9"/>
    <w:rsid w:val="00566CC5"/>
    <w:rsid w:val="0057152F"/>
    <w:rsid w:val="00572013"/>
    <w:rsid w:val="0057281F"/>
    <w:rsid w:val="00574B46"/>
    <w:rsid w:val="00574CCE"/>
    <w:rsid w:val="00576CC4"/>
    <w:rsid w:val="00577B03"/>
    <w:rsid w:val="0058323C"/>
    <w:rsid w:val="00591D15"/>
    <w:rsid w:val="005953E6"/>
    <w:rsid w:val="005A1772"/>
    <w:rsid w:val="005A242D"/>
    <w:rsid w:val="005A441A"/>
    <w:rsid w:val="005B14C4"/>
    <w:rsid w:val="005B2181"/>
    <w:rsid w:val="005B4ECD"/>
    <w:rsid w:val="005B653C"/>
    <w:rsid w:val="005C0F53"/>
    <w:rsid w:val="005C4043"/>
    <w:rsid w:val="005C4C56"/>
    <w:rsid w:val="005C5B1E"/>
    <w:rsid w:val="005C75E7"/>
    <w:rsid w:val="005C7C8C"/>
    <w:rsid w:val="005E71F9"/>
    <w:rsid w:val="005F17E7"/>
    <w:rsid w:val="005F2749"/>
    <w:rsid w:val="005F54CA"/>
    <w:rsid w:val="005F5B6A"/>
    <w:rsid w:val="0060617B"/>
    <w:rsid w:val="00607F0D"/>
    <w:rsid w:val="00610306"/>
    <w:rsid w:val="0061042E"/>
    <w:rsid w:val="0061076A"/>
    <w:rsid w:val="00613310"/>
    <w:rsid w:val="006141E0"/>
    <w:rsid w:val="0062448B"/>
    <w:rsid w:val="0063743E"/>
    <w:rsid w:val="006377E9"/>
    <w:rsid w:val="0063795E"/>
    <w:rsid w:val="00640C8B"/>
    <w:rsid w:val="00641D72"/>
    <w:rsid w:val="00643022"/>
    <w:rsid w:val="00644B78"/>
    <w:rsid w:val="00653A81"/>
    <w:rsid w:val="00653CED"/>
    <w:rsid w:val="00663205"/>
    <w:rsid w:val="0066392A"/>
    <w:rsid w:val="006658D0"/>
    <w:rsid w:val="00667FB2"/>
    <w:rsid w:val="0067234C"/>
    <w:rsid w:val="00672660"/>
    <w:rsid w:val="0067446B"/>
    <w:rsid w:val="0067462F"/>
    <w:rsid w:val="006A0F76"/>
    <w:rsid w:val="006A5F0C"/>
    <w:rsid w:val="006B309A"/>
    <w:rsid w:val="006B59D3"/>
    <w:rsid w:val="006C0D29"/>
    <w:rsid w:val="006C5258"/>
    <w:rsid w:val="006C6163"/>
    <w:rsid w:val="006C79DF"/>
    <w:rsid w:val="006D4F53"/>
    <w:rsid w:val="006D6585"/>
    <w:rsid w:val="006E30E9"/>
    <w:rsid w:val="006E360C"/>
    <w:rsid w:val="006F47DB"/>
    <w:rsid w:val="006F4A66"/>
    <w:rsid w:val="006F6567"/>
    <w:rsid w:val="00701A6E"/>
    <w:rsid w:val="00701FA2"/>
    <w:rsid w:val="00705676"/>
    <w:rsid w:val="00707D9C"/>
    <w:rsid w:val="007132CE"/>
    <w:rsid w:val="00716B35"/>
    <w:rsid w:val="007210B5"/>
    <w:rsid w:val="00721214"/>
    <w:rsid w:val="007233CA"/>
    <w:rsid w:val="0072402E"/>
    <w:rsid w:val="007300F4"/>
    <w:rsid w:val="00731A83"/>
    <w:rsid w:val="00732710"/>
    <w:rsid w:val="007327D6"/>
    <w:rsid w:val="00734E30"/>
    <w:rsid w:val="0073544D"/>
    <w:rsid w:val="00735DE7"/>
    <w:rsid w:val="00747432"/>
    <w:rsid w:val="007521C6"/>
    <w:rsid w:val="00766A9E"/>
    <w:rsid w:val="00772DAA"/>
    <w:rsid w:val="00775F7E"/>
    <w:rsid w:val="00780C71"/>
    <w:rsid w:val="00790CC2"/>
    <w:rsid w:val="00794D90"/>
    <w:rsid w:val="00797E61"/>
    <w:rsid w:val="007A0134"/>
    <w:rsid w:val="007A0751"/>
    <w:rsid w:val="007A078E"/>
    <w:rsid w:val="007A6CD9"/>
    <w:rsid w:val="007A7352"/>
    <w:rsid w:val="007B0443"/>
    <w:rsid w:val="007B36EC"/>
    <w:rsid w:val="007B78DB"/>
    <w:rsid w:val="007C4E91"/>
    <w:rsid w:val="007D325A"/>
    <w:rsid w:val="007D65D6"/>
    <w:rsid w:val="007D6B27"/>
    <w:rsid w:val="007E2876"/>
    <w:rsid w:val="007F3E62"/>
    <w:rsid w:val="007F547E"/>
    <w:rsid w:val="0081197E"/>
    <w:rsid w:val="00811E4C"/>
    <w:rsid w:val="00814B39"/>
    <w:rsid w:val="008157A8"/>
    <w:rsid w:val="00833596"/>
    <w:rsid w:val="00837135"/>
    <w:rsid w:val="0083716C"/>
    <w:rsid w:val="00850FBC"/>
    <w:rsid w:val="00853193"/>
    <w:rsid w:val="00853350"/>
    <w:rsid w:val="008545BA"/>
    <w:rsid w:val="00855DF8"/>
    <w:rsid w:val="00862FE4"/>
    <w:rsid w:val="00873E00"/>
    <w:rsid w:val="008747D9"/>
    <w:rsid w:val="00875A97"/>
    <w:rsid w:val="0087639E"/>
    <w:rsid w:val="00876CF7"/>
    <w:rsid w:val="00877674"/>
    <w:rsid w:val="008802C7"/>
    <w:rsid w:val="00885C0C"/>
    <w:rsid w:val="008879B2"/>
    <w:rsid w:val="00891B7A"/>
    <w:rsid w:val="00896F9D"/>
    <w:rsid w:val="00897FBD"/>
    <w:rsid w:val="008A2A12"/>
    <w:rsid w:val="008B0B73"/>
    <w:rsid w:val="008B4340"/>
    <w:rsid w:val="008B43E5"/>
    <w:rsid w:val="008B4D04"/>
    <w:rsid w:val="008C2723"/>
    <w:rsid w:val="008C3150"/>
    <w:rsid w:val="008D271C"/>
    <w:rsid w:val="008D4159"/>
    <w:rsid w:val="008D4B60"/>
    <w:rsid w:val="008E237E"/>
    <w:rsid w:val="008E376B"/>
    <w:rsid w:val="008E4B0C"/>
    <w:rsid w:val="008E5B14"/>
    <w:rsid w:val="008E6CBC"/>
    <w:rsid w:val="008E7AB0"/>
    <w:rsid w:val="008F3669"/>
    <w:rsid w:val="0090367B"/>
    <w:rsid w:val="00903A9F"/>
    <w:rsid w:val="00903D4B"/>
    <w:rsid w:val="00905D12"/>
    <w:rsid w:val="00907881"/>
    <w:rsid w:val="00907F3F"/>
    <w:rsid w:val="009105F4"/>
    <w:rsid w:val="00910D1C"/>
    <w:rsid w:val="00916F17"/>
    <w:rsid w:val="00917453"/>
    <w:rsid w:val="00921879"/>
    <w:rsid w:val="00927D0C"/>
    <w:rsid w:val="00930CC2"/>
    <w:rsid w:val="00931DB5"/>
    <w:rsid w:val="009347D6"/>
    <w:rsid w:val="00935BED"/>
    <w:rsid w:val="00937A38"/>
    <w:rsid w:val="009413F5"/>
    <w:rsid w:val="00944A9F"/>
    <w:rsid w:val="00947453"/>
    <w:rsid w:val="00953DD6"/>
    <w:rsid w:val="00954534"/>
    <w:rsid w:val="0096182A"/>
    <w:rsid w:val="00966D86"/>
    <w:rsid w:val="00971968"/>
    <w:rsid w:val="00971B3C"/>
    <w:rsid w:val="00972389"/>
    <w:rsid w:val="00972E0D"/>
    <w:rsid w:val="00973AC8"/>
    <w:rsid w:val="00976123"/>
    <w:rsid w:val="009774E1"/>
    <w:rsid w:val="0098074C"/>
    <w:rsid w:val="0099022C"/>
    <w:rsid w:val="009974AE"/>
    <w:rsid w:val="009A73AC"/>
    <w:rsid w:val="009C40BA"/>
    <w:rsid w:val="009C5231"/>
    <w:rsid w:val="009C79D8"/>
    <w:rsid w:val="009D5537"/>
    <w:rsid w:val="009E1B9C"/>
    <w:rsid w:val="009E2609"/>
    <w:rsid w:val="009E415A"/>
    <w:rsid w:val="009E6811"/>
    <w:rsid w:val="009F210D"/>
    <w:rsid w:val="009F6411"/>
    <w:rsid w:val="00A01D3B"/>
    <w:rsid w:val="00A02DBD"/>
    <w:rsid w:val="00A06CD3"/>
    <w:rsid w:val="00A209F0"/>
    <w:rsid w:val="00A21F65"/>
    <w:rsid w:val="00A23125"/>
    <w:rsid w:val="00A240C5"/>
    <w:rsid w:val="00A27D24"/>
    <w:rsid w:val="00A4069C"/>
    <w:rsid w:val="00A44EB7"/>
    <w:rsid w:val="00A46661"/>
    <w:rsid w:val="00A4712D"/>
    <w:rsid w:val="00A509DF"/>
    <w:rsid w:val="00A515E7"/>
    <w:rsid w:val="00A53E8D"/>
    <w:rsid w:val="00A55DB9"/>
    <w:rsid w:val="00A60676"/>
    <w:rsid w:val="00A61026"/>
    <w:rsid w:val="00A61465"/>
    <w:rsid w:val="00A70EFE"/>
    <w:rsid w:val="00A71702"/>
    <w:rsid w:val="00A74C17"/>
    <w:rsid w:val="00A75044"/>
    <w:rsid w:val="00A77C20"/>
    <w:rsid w:val="00A82989"/>
    <w:rsid w:val="00A94C15"/>
    <w:rsid w:val="00A973A9"/>
    <w:rsid w:val="00AA0395"/>
    <w:rsid w:val="00AA3203"/>
    <w:rsid w:val="00AA47A3"/>
    <w:rsid w:val="00AA4CB8"/>
    <w:rsid w:val="00AB45A7"/>
    <w:rsid w:val="00AB71FC"/>
    <w:rsid w:val="00AC1835"/>
    <w:rsid w:val="00AC53D5"/>
    <w:rsid w:val="00AC5C03"/>
    <w:rsid w:val="00AD01FC"/>
    <w:rsid w:val="00AD2748"/>
    <w:rsid w:val="00AD5328"/>
    <w:rsid w:val="00AD7423"/>
    <w:rsid w:val="00AD79EA"/>
    <w:rsid w:val="00AE323F"/>
    <w:rsid w:val="00AE43AD"/>
    <w:rsid w:val="00AE5775"/>
    <w:rsid w:val="00AF4FA7"/>
    <w:rsid w:val="00AF6A62"/>
    <w:rsid w:val="00B03339"/>
    <w:rsid w:val="00B050F5"/>
    <w:rsid w:val="00B10901"/>
    <w:rsid w:val="00B17D90"/>
    <w:rsid w:val="00B32DFB"/>
    <w:rsid w:val="00B3620C"/>
    <w:rsid w:val="00B42728"/>
    <w:rsid w:val="00B42C9A"/>
    <w:rsid w:val="00B53E0B"/>
    <w:rsid w:val="00B56301"/>
    <w:rsid w:val="00B60E04"/>
    <w:rsid w:val="00B633DB"/>
    <w:rsid w:val="00B63FEC"/>
    <w:rsid w:val="00B71D8A"/>
    <w:rsid w:val="00B772D5"/>
    <w:rsid w:val="00B808F8"/>
    <w:rsid w:val="00B91F8B"/>
    <w:rsid w:val="00B92A22"/>
    <w:rsid w:val="00B92DE5"/>
    <w:rsid w:val="00B965CB"/>
    <w:rsid w:val="00BA5722"/>
    <w:rsid w:val="00BA5E09"/>
    <w:rsid w:val="00BA7B11"/>
    <w:rsid w:val="00BB1B2C"/>
    <w:rsid w:val="00BB28AE"/>
    <w:rsid w:val="00BC32B8"/>
    <w:rsid w:val="00BE1171"/>
    <w:rsid w:val="00BE3166"/>
    <w:rsid w:val="00BE4DA2"/>
    <w:rsid w:val="00BE6815"/>
    <w:rsid w:val="00BF0D2D"/>
    <w:rsid w:val="00BF1D0A"/>
    <w:rsid w:val="00BF795A"/>
    <w:rsid w:val="00C044B6"/>
    <w:rsid w:val="00C04B2B"/>
    <w:rsid w:val="00C057E1"/>
    <w:rsid w:val="00C0771C"/>
    <w:rsid w:val="00C07BFD"/>
    <w:rsid w:val="00C104F0"/>
    <w:rsid w:val="00C1489A"/>
    <w:rsid w:val="00C17CDC"/>
    <w:rsid w:val="00C20659"/>
    <w:rsid w:val="00C2337F"/>
    <w:rsid w:val="00C234BD"/>
    <w:rsid w:val="00C30352"/>
    <w:rsid w:val="00C33507"/>
    <w:rsid w:val="00C33D62"/>
    <w:rsid w:val="00C404C1"/>
    <w:rsid w:val="00C426CF"/>
    <w:rsid w:val="00C479F2"/>
    <w:rsid w:val="00C5054B"/>
    <w:rsid w:val="00C536D7"/>
    <w:rsid w:val="00C6030B"/>
    <w:rsid w:val="00C647D5"/>
    <w:rsid w:val="00C660E3"/>
    <w:rsid w:val="00C66C24"/>
    <w:rsid w:val="00C673BB"/>
    <w:rsid w:val="00C71046"/>
    <w:rsid w:val="00C71ACB"/>
    <w:rsid w:val="00C71E30"/>
    <w:rsid w:val="00C75025"/>
    <w:rsid w:val="00C82F73"/>
    <w:rsid w:val="00C909A8"/>
    <w:rsid w:val="00C94E57"/>
    <w:rsid w:val="00C955E7"/>
    <w:rsid w:val="00C971D1"/>
    <w:rsid w:val="00CA05AC"/>
    <w:rsid w:val="00CA0DB4"/>
    <w:rsid w:val="00CA2EB1"/>
    <w:rsid w:val="00CB0B7D"/>
    <w:rsid w:val="00CC05E7"/>
    <w:rsid w:val="00CC4CA7"/>
    <w:rsid w:val="00CD3645"/>
    <w:rsid w:val="00CD71A3"/>
    <w:rsid w:val="00CE529E"/>
    <w:rsid w:val="00CF2F76"/>
    <w:rsid w:val="00D00DCF"/>
    <w:rsid w:val="00D00E27"/>
    <w:rsid w:val="00D13F3A"/>
    <w:rsid w:val="00D170E4"/>
    <w:rsid w:val="00D17D28"/>
    <w:rsid w:val="00D26F37"/>
    <w:rsid w:val="00D31671"/>
    <w:rsid w:val="00D4594C"/>
    <w:rsid w:val="00D53779"/>
    <w:rsid w:val="00D56212"/>
    <w:rsid w:val="00D57C77"/>
    <w:rsid w:val="00D62D26"/>
    <w:rsid w:val="00D62F5A"/>
    <w:rsid w:val="00D63E33"/>
    <w:rsid w:val="00D67856"/>
    <w:rsid w:val="00D714B2"/>
    <w:rsid w:val="00D73F9A"/>
    <w:rsid w:val="00D74026"/>
    <w:rsid w:val="00D82617"/>
    <w:rsid w:val="00D8394A"/>
    <w:rsid w:val="00D84EDB"/>
    <w:rsid w:val="00D94A38"/>
    <w:rsid w:val="00DA2C5B"/>
    <w:rsid w:val="00DA2E92"/>
    <w:rsid w:val="00DB288E"/>
    <w:rsid w:val="00DB3B7C"/>
    <w:rsid w:val="00DB72A6"/>
    <w:rsid w:val="00DD078E"/>
    <w:rsid w:val="00DD6836"/>
    <w:rsid w:val="00DE3C27"/>
    <w:rsid w:val="00DF1277"/>
    <w:rsid w:val="00DF1679"/>
    <w:rsid w:val="00DF2F2A"/>
    <w:rsid w:val="00DF47DB"/>
    <w:rsid w:val="00DF5EF9"/>
    <w:rsid w:val="00DF6362"/>
    <w:rsid w:val="00DF6433"/>
    <w:rsid w:val="00E003F4"/>
    <w:rsid w:val="00E01EC5"/>
    <w:rsid w:val="00E020E6"/>
    <w:rsid w:val="00E02226"/>
    <w:rsid w:val="00E02BAC"/>
    <w:rsid w:val="00E03048"/>
    <w:rsid w:val="00E0350F"/>
    <w:rsid w:val="00E05656"/>
    <w:rsid w:val="00E06947"/>
    <w:rsid w:val="00E0764E"/>
    <w:rsid w:val="00E237BB"/>
    <w:rsid w:val="00E3162A"/>
    <w:rsid w:val="00E32D3D"/>
    <w:rsid w:val="00E372F8"/>
    <w:rsid w:val="00E41D60"/>
    <w:rsid w:val="00E4480C"/>
    <w:rsid w:val="00E458E0"/>
    <w:rsid w:val="00E45F3D"/>
    <w:rsid w:val="00E471E0"/>
    <w:rsid w:val="00E55980"/>
    <w:rsid w:val="00E678C8"/>
    <w:rsid w:val="00E704D4"/>
    <w:rsid w:val="00E7090F"/>
    <w:rsid w:val="00E73C1F"/>
    <w:rsid w:val="00E74312"/>
    <w:rsid w:val="00E80DFE"/>
    <w:rsid w:val="00E82B06"/>
    <w:rsid w:val="00E83996"/>
    <w:rsid w:val="00E93753"/>
    <w:rsid w:val="00E93FFB"/>
    <w:rsid w:val="00E94645"/>
    <w:rsid w:val="00E972C1"/>
    <w:rsid w:val="00EA011E"/>
    <w:rsid w:val="00EB4AD9"/>
    <w:rsid w:val="00EC594D"/>
    <w:rsid w:val="00EC686C"/>
    <w:rsid w:val="00ED5533"/>
    <w:rsid w:val="00ED5DF8"/>
    <w:rsid w:val="00ED726A"/>
    <w:rsid w:val="00EE0387"/>
    <w:rsid w:val="00EE3E05"/>
    <w:rsid w:val="00EF1E4A"/>
    <w:rsid w:val="00EF4726"/>
    <w:rsid w:val="00EF4CEE"/>
    <w:rsid w:val="00EF6D7D"/>
    <w:rsid w:val="00F03E3D"/>
    <w:rsid w:val="00F123B8"/>
    <w:rsid w:val="00F13A96"/>
    <w:rsid w:val="00F2439D"/>
    <w:rsid w:val="00F340F4"/>
    <w:rsid w:val="00F36756"/>
    <w:rsid w:val="00F409CA"/>
    <w:rsid w:val="00F42508"/>
    <w:rsid w:val="00F4686E"/>
    <w:rsid w:val="00F46EC7"/>
    <w:rsid w:val="00F470C5"/>
    <w:rsid w:val="00F47B86"/>
    <w:rsid w:val="00F5686B"/>
    <w:rsid w:val="00F60E65"/>
    <w:rsid w:val="00F70BD7"/>
    <w:rsid w:val="00F77449"/>
    <w:rsid w:val="00F77612"/>
    <w:rsid w:val="00F81C73"/>
    <w:rsid w:val="00F90BB9"/>
    <w:rsid w:val="00F92394"/>
    <w:rsid w:val="00F9492F"/>
    <w:rsid w:val="00FA1785"/>
    <w:rsid w:val="00FA6A5F"/>
    <w:rsid w:val="00FB1039"/>
    <w:rsid w:val="00FB4355"/>
    <w:rsid w:val="00FB4A80"/>
    <w:rsid w:val="00FB7421"/>
    <w:rsid w:val="00FC33FF"/>
    <w:rsid w:val="00FC5B28"/>
    <w:rsid w:val="00FC6536"/>
    <w:rsid w:val="00FC6E54"/>
    <w:rsid w:val="00FD1805"/>
    <w:rsid w:val="00FD6788"/>
    <w:rsid w:val="00FD6BD8"/>
    <w:rsid w:val="00FE1E8F"/>
    <w:rsid w:val="00FE4400"/>
    <w:rsid w:val="00FF02F1"/>
    <w:rsid w:val="00FF644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8B"/>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1F8B"/>
    <w:pPr>
      <w:keepNext/>
      <w:widowControl w:val="0"/>
      <w:suppressAutoHyphens/>
      <w:snapToGrid w:val="0"/>
      <w:jc w:val="center"/>
      <w:outlineLvl w:val="0"/>
    </w:pPr>
    <w:rPr>
      <w:rFonts w:ascii="Arial" w:hAnsi="Arial"/>
      <w:b/>
      <w:spacing w:val="-3"/>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1F8B"/>
    <w:rPr>
      <w:rFonts w:ascii="Arial" w:hAnsi="Arial" w:cs="Times New Roman"/>
      <w:b/>
      <w:spacing w:val="-3"/>
      <w:sz w:val="20"/>
      <w:szCs w:val="20"/>
    </w:rPr>
  </w:style>
  <w:style w:type="paragraph" w:customStyle="1" w:styleId="ALTBASLIK">
    <w:name w:val="ALTBASLIK"/>
    <w:basedOn w:val="Normal"/>
    <w:uiPriority w:val="99"/>
    <w:rsid w:val="00B91F8B"/>
    <w:pPr>
      <w:tabs>
        <w:tab w:val="left" w:pos="567"/>
      </w:tabs>
      <w:jc w:val="center"/>
    </w:pPr>
    <w:rPr>
      <w:rFonts w:ascii="New York" w:hAnsi="New York"/>
      <w:b/>
      <w:sz w:val="18"/>
      <w:szCs w:val="20"/>
      <w:lang w:val="en-US"/>
    </w:rPr>
  </w:style>
  <w:style w:type="paragraph" w:styleId="ListParagraph">
    <w:name w:val="List Paragraph"/>
    <w:basedOn w:val="Normal"/>
    <w:uiPriority w:val="99"/>
    <w:qFormat/>
    <w:rsid w:val="00B91F8B"/>
    <w:pPr>
      <w:spacing w:before="100" w:beforeAutospacing="1" w:after="100" w:afterAutospacing="1"/>
    </w:pPr>
  </w:style>
  <w:style w:type="table" w:styleId="TableGrid">
    <w:name w:val="Table Grid"/>
    <w:basedOn w:val="TableNormal"/>
    <w:uiPriority w:val="99"/>
    <w:rsid w:val="00D17D2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6141E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141E0"/>
    <w:rPr>
      <w:rFonts w:ascii="Courier New" w:hAnsi="Courier New" w:cs="Courier New"/>
      <w:sz w:val="20"/>
      <w:szCs w:val="20"/>
      <w:lang w:eastAsia="tr-TR"/>
    </w:rPr>
  </w:style>
  <w:style w:type="paragraph" w:styleId="NoSpacing">
    <w:name w:val="No Spacing"/>
    <w:uiPriority w:val="99"/>
    <w:qFormat/>
    <w:rsid w:val="00B772D5"/>
    <w:rPr>
      <w:lang w:eastAsia="en-US"/>
    </w:rPr>
  </w:style>
  <w:style w:type="paragraph" w:customStyle="1" w:styleId="2-OrtaBaslk">
    <w:name w:val="2-Orta Baslık"/>
    <w:uiPriority w:val="99"/>
    <w:rsid w:val="00566CC5"/>
    <w:pPr>
      <w:jc w:val="center"/>
    </w:pPr>
    <w:rPr>
      <w:rFonts w:ascii="Times New Roman" w:eastAsia="ヒラギノ明朝 Pro W3" w:hAnsi="Times"/>
      <w:b/>
      <w:sz w:val="19"/>
      <w:szCs w:val="20"/>
      <w:lang w:eastAsia="en-US"/>
    </w:rPr>
  </w:style>
  <w:style w:type="paragraph" w:customStyle="1" w:styleId="3-normalyaz">
    <w:name w:val="3-normalyaz"/>
    <w:basedOn w:val="Normal"/>
    <w:uiPriority w:val="99"/>
    <w:rsid w:val="00566CC5"/>
    <w:pPr>
      <w:spacing w:before="100" w:beforeAutospacing="1" w:after="100" w:afterAutospacing="1"/>
    </w:pPr>
  </w:style>
  <w:style w:type="paragraph" w:customStyle="1" w:styleId="1-Baslk">
    <w:name w:val="1-Baslık"/>
    <w:uiPriority w:val="99"/>
    <w:rsid w:val="00947453"/>
    <w:pPr>
      <w:tabs>
        <w:tab w:val="left" w:pos="566"/>
      </w:tabs>
    </w:pPr>
    <w:rPr>
      <w:rFonts w:ascii="Times New Roman" w:eastAsia="ヒラギノ明朝 Pro W3" w:hAnsi="Times"/>
      <w:szCs w:val="20"/>
      <w:u w:val="single"/>
      <w:lang w:eastAsia="en-US"/>
    </w:rPr>
  </w:style>
  <w:style w:type="paragraph" w:customStyle="1" w:styleId="3-NormalYaz0">
    <w:name w:val="3-Normal Yazı"/>
    <w:uiPriority w:val="99"/>
    <w:rsid w:val="00947453"/>
    <w:pPr>
      <w:tabs>
        <w:tab w:val="left" w:pos="566"/>
      </w:tabs>
      <w:jc w:val="both"/>
    </w:pPr>
    <w:rPr>
      <w:rFonts w:ascii="Times New Roman" w:eastAsia="Times New Roman" w:hAnsi="Times New Roman"/>
      <w:sz w:val="19"/>
      <w:szCs w:val="20"/>
      <w:lang w:eastAsia="en-US"/>
    </w:rPr>
  </w:style>
  <w:style w:type="paragraph" w:styleId="Header">
    <w:name w:val="header"/>
    <w:basedOn w:val="Normal"/>
    <w:link w:val="HeaderChar"/>
    <w:uiPriority w:val="99"/>
    <w:rsid w:val="00947453"/>
    <w:pPr>
      <w:tabs>
        <w:tab w:val="center" w:pos="4536"/>
        <w:tab w:val="right" w:pos="9072"/>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947453"/>
    <w:rPr>
      <w:rFonts w:ascii="Calibri" w:eastAsia="Times New Roman" w:hAnsi="Calibri" w:cs="Times New Roman"/>
    </w:rPr>
  </w:style>
  <w:style w:type="paragraph" w:styleId="Footer">
    <w:name w:val="footer"/>
    <w:basedOn w:val="Normal"/>
    <w:link w:val="FooterChar"/>
    <w:uiPriority w:val="99"/>
    <w:rsid w:val="00947453"/>
    <w:pPr>
      <w:tabs>
        <w:tab w:val="center" w:pos="4536"/>
        <w:tab w:val="right" w:pos="9072"/>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947453"/>
    <w:rPr>
      <w:rFonts w:ascii="Calibri" w:eastAsia="Times New Roman" w:hAnsi="Calibri" w:cs="Times New Roman"/>
    </w:rPr>
  </w:style>
  <w:style w:type="paragraph" w:styleId="BalloonText">
    <w:name w:val="Balloon Text"/>
    <w:basedOn w:val="Normal"/>
    <w:link w:val="BalloonTextChar"/>
    <w:uiPriority w:val="99"/>
    <w:semiHidden/>
    <w:rsid w:val="003837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794"/>
    <w:rPr>
      <w:rFonts w:ascii="Tahoma" w:hAnsi="Tahoma" w:cs="Tahoma"/>
      <w:sz w:val="16"/>
      <w:szCs w:val="16"/>
      <w:lang w:eastAsia="tr-TR"/>
    </w:rPr>
  </w:style>
  <w:style w:type="paragraph" w:styleId="NormalWeb">
    <w:name w:val="Normal (Web)"/>
    <w:basedOn w:val="Normal"/>
    <w:uiPriority w:val="99"/>
    <w:rsid w:val="00E93FFB"/>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83716C"/>
    <w:rPr>
      <w:rFonts w:cs="Times New Roman"/>
      <w:color w:val="0000FF"/>
      <w:u w:val="single"/>
    </w:rPr>
  </w:style>
  <w:style w:type="paragraph" w:styleId="HTMLPreformatted">
    <w:name w:val="HTML Preformatted"/>
    <w:basedOn w:val="Normal"/>
    <w:link w:val="HTMLPreformattedChar"/>
    <w:uiPriority w:val="99"/>
    <w:rsid w:val="0021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locked/>
    <w:rsid w:val="00210F12"/>
    <w:rPr>
      <w:rFonts w:ascii="Courier New" w:eastAsia="Times New Roman" w:hAnsi="Courier New" w:cs="Times New Roman"/>
      <w:sz w:val="20"/>
      <w:szCs w:val="20"/>
      <w:lang w:eastAsia="tr-TR"/>
    </w:rPr>
  </w:style>
  <w:style w:type="character" w:styleId="FootnoteReference">
    <w:name w:val="footnote reference"/>
    <w:basedOn w:val="DefaultParagraphFont"/>
    <w:uiPriority w:val="99"/>
    <w:rsid w:val="00210F12"/>
    <w:rPr>
      <w:rFonts w:cs="Times New Roman"/>
      <w:vertAlign w:val="superscript"/>
    </w:rPr>
  </w:style>
  <w:style w:type="character" w:customStyle="1" w:styleId="hps">
    <w:name w:val="hps"/>
    <w:basedOn w:val="DefaultParagraphFont"/>
    <w:uiPriority w:val="99"/>
    <w:rsid w:val="00210F12"/>
    <w:rPr>
      <w:rFonts w:cs="Times New Roman"/>
    </w:rPr>
  </w:style>
  <w:style w:type="paragraph" w:styleId="CommentText">
    <w:name w:val="annotation text"/>
    <w:basedOn w:val="Normal"/>
    <w:link w:val="CommentTextChar"/>
    <w:uiPriority w:val="99"/>
    <w:semiHidden/>
    <w:rsid w:val="00210F12"/>
    <w:rPr>
      <w:rFonts w:eastAsia="SimSun"/>
      <w:sz w:val="20"/>
      <w:szCs w:val="20"/>
      <w:lang w:eastAsia="zh-CN"/>
    </w:rPr>
  </w:style>
  <w:style w:type="character" w:customStyle="1" w:styleId="CommentTextChar">
    <w:name w:val="Comment Text Char"/>
    <w:basedOn w:val="DefaultParagraphFont"/>
    <w:link w:val="CommentText"/>
    <w:uiPriority w:val="99"/>
    <w:semiHidden/>
    <w:locked/>
    <w:rsid w:val="00210F12"/>
    <w:rPr>
      <w:rFonts w:ascii="Times New Roman" w:eastAsia="SimSun" w:hAnsi="Times New Roman" w:cs="Times New Roman"/>
      <w:sz w:val="20"/>
      <w:szCs w:val="20"/>
      <w:lang w:eastAsia="zh-CN"/>
    </w:rPr>
  </w:style>
  <w:style w:type="character" w:styleId="CommentReference">
    <w:name w:val="annotation reference"/>
    <w:basedOn w:val="DefaultParagraphFont"/>
    <w:uiPriority w:val="99"/>
    <w:semiHidden/>
    <w:rsid w:val="00210F12"/>
    <w:rPr>
      <w:rFonts w:cs="Times New Roman"/>
      <w:sz w:val="16"/>
    </w:rPr>
  </w:style>
  <w:style w:type="paragraph" w:styleId="CommentSubject">
    <w:name w:val="annotation subject"/>
    <w:basedOn w:val="CommentText"/>
    <w:next w:val="CommentText"/>
    <w:link w:val="CommentSubjectChar"/>
    <w:uiPriority w:val="99"/>
    <w:semiHidden/>
    <w:rsid w:val="00210F12"/>
    <w:pPr>
      <w:spacing w:after="16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210F12"/>
    <w:rPr>
      <w:b/>
      <w:bCs/>
    </w:rPr>
  </w:style>
  <w:style w:type="paragraph" w:styleId="FootnoteText">
    <w:name w:val="footnote text"/>
    <w:basedOn w:val="Normal"/>
    <w:link w:val="FootnoteTextChar"/>
    <w:uiPriority w:val="99"/>
    <w:semiHidden/>
    <w:rsid w:val="00210F12"/>
    <w:pPr>
      <w:overflowPunct w:val="0"/>
      <w:autoSpaceDE w:val="0"/>
      <w:autoSpaceDN w:val="0"/>
      <w:adjustRightInd w:val="0"/>
      <w:textAlignment w:val="baseline"/>
    </w:pPr>
    <w:rPr>
      <w:rFonts w:ascii="Arial" w:hAnsi="Arial" w:cs="Arial"/>
      <w:sz w:val="20"/>
      <w:szCs w:val="20"/>
      <w:lang w:val="en-US"/>
    </w:rPr>
  </w:style>
  <w:style w:type="character" w:customStyle="1" w:styleId="FootnoteTextChar">
    <w:name w:val="Footnote Text Char"/>
    <w:basedOn w:val="DefaultParagraphFont"/>
    <w:link w:val="FootnoteText"/>
    <w:uiPriority w:val="99"/>
    <w:semiHidden/>
    <w:locked/>
    <w:rsid w:val="00210F12"/>
    <w:rPr>
      <w:rFonts w:ascii="Arial" w:hAnsi="Arial" w:cs="Arial"/>
      <w:sz w:val="20"/>
      <w:szCs w:val="20"/>
      <w:lang w:val="en-US" w:eastAsia="tr-TR"/>
    </w:rPr>
  </w:style>
  <w:style w:type="character" w:customStyle="1" w:styleId="apple-converted-space">
    <w:name w:val="apple-converted-space"/>
    <w:basedOn w:val="DefaultParagraphFont"/>
    <w:uiPriority w:val="99"/>
    <w:rsid w:val="00210F12"/>
    <w:rPr>
      <w:rFonts w:cs="Times New Roman"/>
    </w:rPr>
  </w:style>
  <w:style w:type="character" w:customStyle="1" w:styleId="normal1">
    <w:name w:val="normal1"/>
    <w:basedOn w:val="DefaultParagraphFont"/>
    <w:uiPriority w:val="99"/>
    <w:rsid w:val="00210F12"/>
    <w:rPr>
      <w:rFonts w:cs="Times New Roman"/>
    </w:rPr>
  </w:style>
  <w:style w:type="paragraph" w:customStyle="1" w:styleId="1-baslk0">
    <w:name w:val="1-baslk"/>
    <w:basedOn w:val="Normal"/>
    <w:uiPriority w:val="99"/>
    <w:rsid w:val="00210F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64586044">
      <w:marLeft w:val="0"/>
      <w:marRight w:val="0"/>
      <w:marTop w:val="0"/>
      <w:marBottom w:val="0"/>
      <w:divBdr>
        <w:top w:val="none" w:sz="0" w:space="0" w:color="auto"/>
        <w:left w:val="none" w:sz="0" w:space="0" w:color="auto"/>
        <w:bottom w:val="none" w:sz="0" w:space="0" w:color="auto"/>
        <w:right w:val="none" w:sz="0" w:space="0" w:color="auto"/>
      </w:divBdr>
    </w:div>
    <w:div w:id="1164586045">
      <w:marLeft w:val="0"/>
      <w:marRight w:val="0"/>
      <w:marTop w:val="0"/>
      <w:marBottom w:val="0"/>
      <w:divBdr>
        <w:top w:val="none" w:sz="0" w:space="0" w:color="auto"/>
        <w:left w:val="none" w:sz="0" w:space="0" w:color="auto"/>
        <w:bottom w:val="none" w:sz="0" w:space="0" w:color="auto"/>
        <w:right w:val="none" w:sz="0" w:space="0" w:color="auto"/>
      </w:divBdr>
    </w:div>
    <w:div w:id="1164586046">
      <w:marLeft w:val="0"/>
      <w:marRight w:val="0"/>
      <w:marTop w:val="0"/>
      <w:marBottom w:val="0"/>
      <w:divBdr>
        <w:top w:val="none" w:sz="0" w:space="0" w:color="auto"/>
        <w:left w:val="none" w:sz="0" w:space="0" w:color="auto"/>
        <w:bottom w:val="none" w:sz="0" w:space="0" w:color="auto"/>
        <w:right w:val="none" w:sz="0" w:space="0" w:color="auto"/>
      </w:divBdr>
    </w:div>
    <w:div w:id="1164586047">
      <w:marLeft w:val="0"/>
      <w:marRight w:val="0"/>
      <w:marTop w:val="0"/>
      <w:marBottom w:val="0"/>
      <w:divBdr>
        <w:top w:val="none" w:sz="0" w:space="0" w:color="auto"/>
        <w:left w:val="none" w:sz="0" w:space="0" w:color="auto"/>
        <w:bottom w:val="none" w:sz="0" w:space="0" w:color="auto"/>
        <w:right w:val="none" w:sz="0" w:space="0" w:color="auto"/>
      </w:divBdr>
    </w:div>
    <w:div w:id="1164586048">
      <w:marLeft w:val="0"/>
      <w:marRight w:val="0"/>
      <w:marTop w:val="0"/>
      <w:marBottom w:val="0"/>
      <w:divBdr>
        <w:top w:val="none" w:sz="0" w:space="0" w:color="auto"/>
        <w:left w:val="none" w:sz="0" w:space="0" w:color="auto"/>
        <w:bottom w:val="none" w:sz="0" w:space="0" w:color="auto"/>
        <w:right w:val="none" w:sz="0" w:space="0" w:color="auto"/>
      </w:divBdr>
    </w:div>
    <w:div w:id="1164586049">
      <w:marLeft w:val="0"/>
      <w:marRight w:val="0"/>
      <w:marTop w:val="0"/>
      <w:marBottom w:val="0"/>
      <w:divBdr>
        <w:top w:val="none" w:sz="0" w:space="0" w:color="auto"/>
        <w:left w:val="none" w:sz="0" w:space="0" w:color="auto"/>
        <w:bottom w:val="none" w:sz="0" w:space="0" w:color="auto"/>
        <w:right w:val="none" w:sz="0" w:space="0" w:color="auto"/>
      </w:divBdr>
    </w:div>
    <w:div w:id="1164586050">
      <w:marLeft w:val="0"/>
      <w:marRight w:val="0"/>
      <w:marTop w:val="0"/>
      <w:marBottom w:val="0"/>
      <w:divBdr>
        <w:top w:val="none" w:sz="0" w:space="0" w:color="auto"/>
        <w:left w:val="none" w:sz="0" w:space="0" w:color="auto"/>
        <w:bottom w:val="none" w:sz="0" w:space="0" w:color="auto"/>
        <w:right w:val="none" w:sz="0" w:space="0" w:color="auto"/>
      </w:divBdr>
    </w:div>
    <w:div w:id="1164586051">
      <w:marLeft w:val="0"/>
      <w:marRight w:val="0"/>
      <w:marTop w:val="0"/>
      <w:marBottom w:val="0"/>
      <w:divBdr>
        <w:top w:val="none" w:sz="0" w:space="0" w:color="auto"/>
        <w:left w:val="none" w:sz="0" w:space="0" w:color="auto"/>
        <w:bottom w:val="none" w:sz="0" w:space="0" w:color="auto"/>
        <w:right w:val="none" w:sz="0" w:space="0" w:color="auto"/>
      </w:divBdr>
      <w:divsChild>
        <w:div w:id="1164586054">
          <w:marLeft w:val="0"/>
          <w:marRight w:val="0"/>
          <w:marTop w:val="0"/>
          <w:marBottom w:val="0"/>
          <w:divBdr>
            <w:top w:val="none" w:sz="0" w:space="0" w:color="auto"/>
            <w:left w:val="none" w:sz="0" w:space="0" w:color="auto"/>
            <w:bottom w:val="none" w:sz="0" w:space="0" w:color="auto"/>
            <w:right w:val="none" w:sz="0" w:space="0" w:color="auto"/>
          </w:divBdr>
        </w:div>
      </w:divsChild>
    </w:div>
    <w:div w:id="1164586052">
      <w:marLeft w:val="0"/>
      <w:marRight w:val="0"/>
      <w:marTop w:val="0"/>
      <w:marBottom w:val="0"/>
      <w:divBdr>
        <w:top w:val="none" w:sz="0" w:space="0" w:color="auto"/>
        <w:left w:val="none" w:sz="0" w:space="0" w:color="auto"/>
        <w:bottom w:val="none" w:sz="0" w:space="0" w:color="auto"/>
        <w:right w:val="none" w:sz="0" w:space="0" w:color="auto"/>
      </w:divBdr>
    </w:div>
    <w:div w:id="1164586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3617</Words>
  <Characters>20623</Characters>
  <Application>Microsoft Office Outlook</Application>
  <DocSecurity>0</DocSecurity>
  <Lines>0</Lines>
  <Paragraphs>0</Paragraphs>
  <ScaleCrop>false</ScaleCrop>
  <Company>GUMRUK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subject/>
  <dc:creator>MEDSYS</dc:creator>
  <cp:keywords/>
  <dc:description/>
  <cp:lastModifiedBy>AHMET</cp:lastModifiedBy>
  <cp:revision>2</cp:revision>
  <cp:lastPrinted>2013-12-11T09:32:00Z</cp:lastPrinted>
  <dcterms:created xsi:type="dcterms:W3CDTF">2014-06-27T16:43:00Z</dcterms:created>
  <dcterms:modified xsi:type="dcterms:W3CDTF">2014-06-27T16:43:00Z</dcterms:modified>
</cp:coreProperties>
</file>